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color w:val="auto"/>
          <w:sz w:val="36"/>
          <w:lang w:val="en-US" w:eastAsia="zh-CN"/>
        </w:rPr>
      </w:pPr>
    </w:p>
    <w:p>
      <w:pPr>
        <w:pStyle w:val="8"/>
        <w:ind w:left="0"/>
        <w:rPr>
          <w:rFonts w:ascii="Times New Roman"/>
          <w:color w:val="auto"/>
          <w:sz w:val="20"/>
        </w:rPr>
      </w:pPr>
      <w:r>
        <w:rPr>
          <w:rFonts w:hint="eastAsia" w:ascii="Times New Roman" w:eastAsia="仿宋_GB2312"/>
          <w:color w:val="auto"/>
          <w:sz w:val="20"/>
          <w:lang w:eastAsia="zh-CN"/>
        </w:rPr>
        <w:drawing>
          <wp:anchor distT="0" distB="0" distL="114935" distR="114935" simplePos="0" relativeHeight="251660288" behindDoc="1" locked="0" layoutInCell="1" allowOverlap="1">
            <wp:simplePos x="0" y="0"/>
            <wp:positionH relativeFrom="column">
              <wp:posOffset>2004695</wp:posOffset>
            </wp:positionH>
            <wp:positionV relativeFrom="paragraph">
              <wp:posOffset>50800</wp:posOffset>
            </wp:positionV>
            <wp:extent cx="1753870" cy="1753870"/>
            <wp:effectExtent l="0" t="0" r="17780" b="17780"/>
            <wp:wrapTight wrapText="bothSides">
              <wp:wrapPolygon>
                <wp:start x="0" y="0"/>
                <wp:lineTo x="0" y="21350"/>
                <wp:lineTo x="21350" y="21350"/>
                <wp:lineTo x="21350" y="0"/>
                <wp:lineTo x="0" y="0"/>
              </wp:wrapPolygon>
            </wp:wrapTight>
            <wp:docPr id="7" name="图片 3" descr="西幼校徽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西幼校徽LOGO"/>
                    <pic:cNvPicPr>
                      <a:picLocks noChangeAspect="1"/>
                    </pic:cNvPicPr>
                  </pic:nvPicPr>
                  <pic:blipFill>
                    <a:blip r:embed="rId12"/>
                    <a:stretch>
                      <a:fillRect/>
                    </a:stretch>
                  </pic:blipFill>
                  <pic:spPr>
                    <a:xfrm>
                      <a:off x="0" y="0"/>
                      <a:ext cx="1753870" cy="1753870"/>
                    </a:xfrm>
                    <a:prstGeom prst="rect">
                      <a:avLst/>
                    </a:prstGeom>
                    <a:noFill/>
                    <a:ln>
                      <a:noFill/>
                    </a:ln>
                  </pic:spPr>
                </pic:pic>
              </a:graphicData>
            </a:graphic>
          </wp:anchor>
        </w:drawing>
      </w:r>
    </w:p>
    <w:p>
      <w:pPr>
        <w:pStyle w:val="8"/>
        <w:ind w:left="0"/>
        <w:rPr>
          <w:rFonts w:ascii="Times New Roman"/>
          <w:color w:val="auto"/>
          <w:sz w:val="20"/>
        </w:rPr>
      </w:pPr>
    </w:p>
    <w:p>
      <w:pPr>
        <w:pStyle w:val="8"/>
        <w:ind w:left="0"/>
        <w:rPr>
          <w:rFonts w:hint="eastAsia" w:ascii="Times New Roman" w:eastAsia="仿宋_GB2312"/>
          <w:color w:val="auto"/>
          <w:sz w:val="20"/>
          <w:lang w:eastAsia="zh-CN"/>
        </w:rPr>
      </w:pPr>
    </w:p>
    <w:p>
      <w:pPr>
        <w:pStyle w:val="8"/>
        <w:ind w:left="0"/>
        <w:rPr>
          <w:rFonts w:ascii="Times New Roman"/>
          <w:color w:val="auto"/>
          <w:sz w:val="20"/>
        </w:rPr>
      </w:pPr>
    </w:p>
    <w:p>
      <w:pPr>
        <w:pStyle w:val="8"/>
        <w:ind w:left="0"/>
        <w:rPr>
          <w:rFonts w:ascii="Times New Roman"/>
          <w:color w:val="auto"/>
          <w:sz w:val="20"/>
        </w:rPr>
      </w:pPr>
    </w:p>
    <w:p>
      <w:pPr>
        <w:pStyle w:val="8"/>
        <w:ind w:left="0"/>
        <w:rPr>
          <w:rFonts w:ascii="Times New Roman"/>
          <w:color w:val="auto"/>
          <w:sz w:val="20"/>
        </w:rPr>
      </w:pPr>
    </w:p>
    <w:p>
      <w:pPr>
        <w:pStyle w:val="8"/>
        <w:ind w:left="0"/>
        <w:rPr>
          <w:rFonts w:ascii="Times New Roman"/>
          <w:color w:val="auto"/>
          <w:sz w:val="20"/>
        </w:rPr>
      </w:pPr>
    </w:p>
    <w:p>
      <w:pPr>
        <w:pStyle w:val="8"/>
        <w:ind w:left="0"/>
        <w:rPr>
          <w:rFonts w:ascii="Times New Roman"/>
          <w:color w:val="auto"/>
          <w:sz w:val="20"/>
        </w:rPr>
      </w:pPr>
    </w:p>
    <w:p>
      <w:pPr>
        <w:pStyle w:val="8"/>
        <w:ind w:left="0"/>
        <w:rPr>
          <w:rFonts w:ascii="Times New Roman"/>
          <w:color w:val="auto"/>
          <w:sz w:val="20"/>
        </w:rPr>
      </w:pPr>
    </w:p>
    <w:p>
      <w:pPr>
        <w:pStyle w:val="8"/>
        <w:ind w:left="0"/>
        <w:rPr>
          <w:rFonts w:ascii="Times New Roman"/>
          <w:color w:val="auto"/>
          <w:sz w:val="20"/>
        </w:rPr>
      </w:pPr>
    </w:p>
    <w:p>
      <w:pPr>
        <w:pStyle w:val="8"/>
        <w:ind w:left="0"/>
        <w:rPr>
          <w:rFonts w:ascii="Times New Roman"/>
          <w:color w:val="auto"/>
          <w:sz w:val="20"/>
        </w:rPr>
      </w:pPr>
    </w:p>
    <w:p>
      <w:pPr>
        <w:pStyle w:val="8"/>
        <w:ind w:left="0"/>
        <w:rPr>
          <w:rFonts w:ascii="Times New Roman"/>
          <w:color w:val="auto"/>
          <w:sz w:val="20"/>
        </w:rPr>
      </w:pPr>
    </w:p>
    <w:p>
      <w:pPr>
        <w:spacing w:before="0" w:line="796" w:lineRule="exact"/>
        <w:ind w:left="748" w:right="827" w:firstLine="0"/>
        <w:jc w:val="both"/>
        <w:rPr>
          <w:rFonts w:hint="eastAsia" w:ascii="方正小标宋简体" w:hAnsi="方正小标宋简体" w:eastAsia="方正小标宋简体" w:cs="方正小标宋简体"/>
          <w:color w:val="auto"/>
          <w:sz w:val="44"/>
          <w:szCs w:val="44"/>
        </w:rPr>
      </w:pPr>
    </w:p>
    <w:p>
      <w:pPr>
        <w:spacing w:before="0" w:line="796" w:lineRule="exact"/>
        <w:ind w:left="748" w:right="827" w:firstLine="0"/>
        <w:jc w:val="both"/>
        <w:rPr>
          <w:rFonts w:hint="eastAsia" w:ascii="方正小标宋简体" w:hAnsi="方正小标宋简体" w:eastAsia="方正小标宋简体" w:cs="方正小标宋简体"/>
          <w:color w:val="auto"/>
          <w:sz w:val="44"/>
          <w:szCs w:val="44"/>
        </w:rPr>
      </w:pPr>
      <w:r>
        <w:rPr>
          <w:rFonts w:hint="eastAsia" w:ascii="Times New Roman" w:eastAsia="仿宋_GB2312"/>
          <w:color w:val="auto"/>
          <w:sz w:val="20"/>
          <w:lang w:eastAsia="zh-CN"/>
        </w:rPr>
        <w:drawing>
          <wp:anchor distT="0" distB="0" distL="114935" distR="114935" simplePos="0" relativeHeight="251661312" behindDoc="1" locked="0" layoutInCell="1" allowOverlap="1">
            <wp:simplePos x="0" y="0"/>
            <wp:positionH relativeFrom="column">
              <wp:posOffset>461645</wp:posOffset>
            </wp:positionH>
            <wp:positionV relativeFrom="paragraph">
              <wp:posOffset>441325</wp:posOffset>
            </wp:positionV>
            <wp:extent cx="4887595" cy="1187450"/>
            <wp:effectExtent l="0" t="0" r="8255" b="12700"/>
            <wp:wrapTight wrapText="bothSides">
              <wp:wrapPolygon>
                <wp:start x="0" y="0"/>
                <wp:lineTo x="0" y="21138"/>
                <wp:lineTo x="21552" y="21138"/>
                <wp:lineTo x="21552" y="0"/>
                <wp:lineTo x="0" y="0"/>
              </wp:wrapPolygon>
            </wp:wrapTight>
            <wp:docPr id="5" name="图片 2" descr="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校名"/>
                    <pic:cNvPicPr>
                      <a:picLocks noChangeAspect="1"/>
                    </pic:cNvPicPr>
                  </pic:nvPicPr>
                  <pic:blipFill>
                    <a:blip r:embed="rId13"/>
                    <a:stretch>
                      <a:fillRect/>
                    </a:stretch>
                  </pic:blipFill>
                  <pic:spPr>
                    <a:xfrm>
                      <a:off x="0" y="0"/>
                      <a:ext cx="4887595" cy="1187450"/>
                    </a:xfrm>
                    <a:prstGeom prst="rect">
                      <a:avLst/>
                    </a:prstGeom>
                    <a:noFill/>
                    <a:ln>
                      <a:noFill/>
                    </a:ln>
                  </pic:spPr>
                </pic:pic>
              </a:graphicData>
            </a:graphic>
          </wp:anchor>
        </w:drawing>
      </w:r>
    </w:p>
    <w:p>
      <w:pPr>
        <w:spacing w:before="0" w:line="796" w:lineRule="exact"/>
        <w:ind w:left="748" w:right="827" w:firstLine="0"/>
        <w:jc w:val="both"/>
        <w:rPr>
          <w:rFonts w:hint="eastAsia" w:ascii="方正小标宋简体" w:hAnsi="方正小标宋简体" w:eastAsia="方正小标宋简体" w:cs="方正小标宋简体"/>
          <w:color w:val="auto"/>
          <w:sz w:val="44"/>
          <w:szCs w:val="44"/>
        </w:rPr>
      </w:pPr>
    </w:p>
    <w:p>
      <w:pPr>
        <w:spacing w:before="0" w:line="796" w:lineRule="exact"/>
        <w:ind w:left="748" w:right="827" w:firstLine="0"/>
        <w:jc w:val="both"/>
        <w:rPr>
          <w:rFonts w:hint="eastAsia" w:ascii="方正小标宋简体" w:hAnsi="方正小标宋简体" w:eastAsia="方正小标宋简体" w:cs="方正小标宋简体"/>
          <w:color w:val="auto"/>
          <w:sz w:val="44"/>
          <w:szCs w:val="44"/>
        </w:rPr>
      </w:pPr>
    </w:p>
    <w:p>
      <w:pPr>
        <w:spacing w:before="0" w:line="796" w:lineRule="exact"/>
        <w:ind w:right="106" w:rightChars="0"/>
        <w:jc w:val="left"/>
        <w:rPr>
          <w:rFonts w:hint="eastAsia" w:ascii="方正小标宋简体" w:hAnsi="方正小标宋简体" w:eastAsia="方正小标宋简体" w:cs="方正小标宋简体"/>
          <w:color w:val="auto"/>
          <w:sz w:val="44"/>
          <w:szCs w:val="44"/>
          <w:lang w:val="en-US" w:eastAsia="zh-CN"/>
        </w:rPr>
      </w:pPr>
    </w:p>
    <w:p>
      <w:pPr>
        <w:spacing w:before="0" w:line="796" w:lineRule="exact"/>
        <w:ind w:right="106" w:rightChars="0"/>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lang w:val="en-US" w:eastAsia="zh-CN"/>
        </w:rPr>
        <w:t>智慧健康养老服务与管理</w:t>
      </w:r>
      <w:r>
        <w:rPr>
          <w:rFonts w:hint="eastAsia" w:ascii="方正小标宋简体" w:hAnsi="方正小标宋简体" w:eastAsia="方正小标宋简体" w:cs="方正小标宋简体"/>
          <w:color w:val="auto"/>
          <w:sz w:val="44"/>
          <w:szCs w:val="44"/>
        </w:rPr>
        <w:t>专业</w:t>
      </w:r>
    </w:p>
    <w:p>
      <w:pPr>
        <w:spacing w:before="0" w:line="796" w:lineRule="exact"/>
        <w:ind w:right="106" w:rightChars="0"/>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lang w:val="en-US" w:eastAsia="zh-CN"/>
        </w:rPr>
        <w:t>2021级</w:t>
      </w:r>
      <w:r>
        <w:rPr>
          <w:rFonts w:hint="eastAsia" w:ascii="方正小标宋简体" w:hAnsi="方正小标宋简体" w:eastAsia="方正小标宋简体" w:cs="方正小标宋简体"/>
          <w:color w:val="auto"/>
          <w:sz w:val="44"/>
          <w:szCs w:val="44"/>
        </w:rPr>
        <w:t>人才培养方案</w:t>
      </w:r>
    </w:p>
    <w:p>
      <w:pPr>
        <w:spacing w:before="0" w:line="796" w:lineRule="exact"/>
        <w:ind w:left="748" w:right="827" w:firstLine="0"/>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w:t>
      </w:r>
      <w:r>
        <w:rPr>
          <w:rFonts w:hint="eastAsia" w:ascii="方正小标宋简体" w:hAnsi="方正小标宋简体" w:eastAsia="方正小标宋简体" w:cs="方正小标宋简体"/>
          <w:color w:val="auto"/>
          <w:sz w:val="44"/>
          <w:szCs w:val="44"/>
          <w:lang w:val="en-US" w:eastAsia="zh-CN"/>
        </w:rPr>
        <w:t>三年制</w:t>
      </w:r>
      <w:r>
        <w:rPr>
          <w:rFonts w:hint="eastAsia" w:ascii="方正小标宋简体" w:hAnsi="方正小标宋简体" w:eastAsia="方正小标宋简体" w:cs="方正小标宋简体"/>
          <w:color w:val="auto"/>
          <w:sz w:val="44"/>
          <w:szCs w:val="44"/>
        </w:rPr>
        <w:t>）</w:t>
      </w:r>
    </w:p>
    <w:p>
      <w:pPr>
        <w:pStyle w:val="8"/>
        <w:ind w:left="0"/>
        <w:jc w:val="center"/>
        <w:rPr>
          <w:rFonts w:ascii="方正小标宋简体"/>
          <w:color w:val="auto"/>
          <w:sz w:val="56"/>
        </w:rPr>
      </w:pPr>
    </w:p>
    <w:p>
      <w:pPr>
        <w:jc w:val="center"/>
        <w:rPr>
          <w:rFonts w:hint="eastAsia" w:ascii="方正小标宋简体" w:hAnsi="方正小标宋简体" w:eastAsia="方正小标宋简体" w:cs="方正小标宋简体"/>
          <w:b w:val="0"/>
          <w:bCs w:val="0"/>
          <w:color w:val="auto"/>
          <w:sz w:val="36"/>
        </w:rPr>
      </w:pPr>
      <w:r>
        <w:rPr>
          <w:rFonts w:hint="eastAsia" w:ascii="方正小标宋简体" w:hAnsi="方正小标宋简体" w:eastAsia="方正小标宋简体" w:cs="方正小标宋简体"/>
          <w:b w:val="0"/>
          <w:bCs w:val="0"/>
          <w:color w:val="auto"/>
          <w:sz w:val="36"/>
          <w:lang w:val="en-US" w:eastAsia="zh-CN"/>
        </w:rPr>
        <w:t>专业负责人：刘建林</w:t>
      </w:r>
    </w:p>
    <w:p>
      <w:pPr>
        <w:jc w:val="center"/>
        <w:rPr>
          <w:rFonts w:hint="eastAsia" w:ascii="宋体" w:hAnsi="宋体" w:eastAsia="宋体" w:cs="宋体"/>
          <w:b/>
          <w:i w:val="0"/>
          <w:caps w:val="0"/>
          <w:color w:val="auto"/>
          <w:spacing w:val="0"/>
          <w:kern w:val="0"/>
          <w:sz w:val="24"/>
          <w:szCs w:val="24"/>
          <w:shd w:val="clear" w:color="auto" w:fill="FFFFFF"/>
          <w:lang w:val="en-US" w:eastAsia="zh-CN" w:bidi="ar"/>
        </w:rPr>
        <w:sectPr>
          <w:pgSz w:w="11910" w:h="16840"/>
          <w:pgMar w:top="1417" w:right="1417" w:bottom="1417" w:left="1417" w:header="720" w:footer="720" w:gutter="0"/>
          <w:pgBorders w:offsetFrom="page">
            <w:top w:val="none" w:sz="0" w:space="0"/>
            <w:left w:val="none" w:sz="0" w:space="0"/>
            <w:bottom w:val="none" w:sz="0" w:space="0"/>
            <w:right w:val="none" w:sz="0" w:space="0"/>
          </w:pgBorders>
          <w:pgNumType w:fmt="decimal"/>
          <w:cols w:space="720" w:num="1"/>
        </w:sectPr>
      </w:pPr>
      <w:r>
        <w:rPr>
          <w:rFonts w:hint="eastAsia" w:ascii="方正小标宋简体" w:hAnsi="方正小标宋简体" w:eastAsia="方正小标宋简体" w:cs="方正小标宋简体"/>
          <w:b w:val="0"/>
          <w:bCs w:val="0"/>
          <w:color w:val="auto"/>
          <w:sz w:val="36"/>
        </w:rPr>
        <w:t>二〇二</w:t>
      </w:r>
      <w:r>
        <w:rPr>
          <w:rFonts w:hint="eastAsia" w:ascii="方正小标宋简体" w:hAnsi="方正小标宋简体" w:eastAsia="方正小标宋简体" w:cs="方正小标宋简体"/>
          <w:b w:val="0"/>
          <w:bCs w:val="0"/>
          <w:color w:val="auto"/>
          <w:sz w:val="36"/>
          <w:lang w:val="en-US" w:eastAsia="zh-CN"/>
        </w:rPr>
        <w:t>一</w:t>
      </w:r>
      <w:r>
        <w:rPr>
          <w:rFonts w:hint="eastAsia" w:ascii="方正小标宋简体" w:hAnsi="方正小标宋简体" w:eastAsia="方正小标宋简体" w:cs="方正小标宋简体"/>
          <w:b w:val="0"/>
          <w:bCs w:val="0"/>
          <w:color w:val="auto"/>
          <w:sz w:val="36"/>
        </w:rPr>
        <w:t>年</w:t>
      </w:r>
      <w:r>
        <w:rPr>
          <w:rFonts w:hint="eastAsia" w:ascii="方正小标宋简体" w:hAnsi="方正小标宋简体" w:eastAsia="方正小标宋简体" w:cs="方正小标宋简体"/>
          <w:b w:val="0"/>
          <w:bCs w:val="0"/>
          <w:color w:val="auto"/>
          <w:sz w:val="36"/>
          <w:lang w:eastAsia="zh-CN"/>
        </w:rPr>
        <w:t>六</w:t>
      </w:r>
      <w:r>
        <w:rPr>
          <w:rFonts w:hint="eastAsia" w:ascii="方正小标宋简体" w:hAnsi="方正小标宋简体" w:eastAsia="方正小标宋简体" w:cs="方正小标宋简体"/>
          <w:b w:val="0"/>
          <w:bCs w:val="0"/>
          <w:color w:val="auto"/>
          <w:sz w:val="36"/>
        </w:rPr>
        <w:t>月</w:t>
      </w:r>
    </w:p>
    <w:p>
      <w:pPr>
        <w:pStyle w:val="12"/>
        <w:tabs>
          <w:tab w:val="right" w:leader="dot" w:pos="8311"/>
        </w:tabs>
        <w:jc w:val="center"/>
        <w:rPr>
          <w:rFonts w:hint="eastAsia" w:ascii="黑体" w:hAnsi="黑体" w:eastAsia="黑体" w:cs="黑体"/>
          <w:color w:val="auto"/>
          <w:sz w:val="32"/>
          <w:szCs w:val="36"/>
          <w:lang w:val="en-US" w:eastAsia="zh-CN"/>
        </w:rPr>
      </w:pPr>
      <w:bookmarkStart w:id="0" w:name="_Toc19357"/>
      <w:r>
        <w:rPr>
          <w:rFonts w:hint="eastAsia" w:ascii="黑体" w:hAnsi="黑体" w:eastAsia="黑体" w:cs="黑体"/>
          <w:color w:val="auto"/>
          <w:sz w:val="32"/>
          <w:szCs w:val="36"/>
          <w:lang w:val="en-US" w:eastAsia="zh-CN"/>
        </w:rPr>
        <w:t>目录</w:t>
      </w:r>
    </w:p>
    <w:p>
      <w:pPr>
        <w:pStyle w:val="12"/>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 w:val="21"/>
          <w:szCs w:val="21"/>
        </w:rPr>
        <w:fldChar w:fldCharType="begin"/>
      </w:r>
      <w:r>
        <w:rPr>
          <w:rFonts w:hint="eastAsia" w:ascii="仿宋" w:hAnsi="仿宋" w:eastAsia="仿宋" w:cs="仿宋"/>
          <w:color w:val="auto"/>
          <w:sz w:val="21"/>
          <w:szCs w:val="21"/>
        </w:rPr>
        <w:instrText xml:space="preserve">TOC \o "1-4" \h \u </w:instrText>
      </w:r>
      <w:r>
        <w:rPr>
          <w:rFonts w:hint="eastAsia" w:ascii="仿宋" w:hAnsi="仿宋" w:eastAsia="仿宋" w:cs="仿宋"/>
          <w:color w:val="auto"/>
          <w:sz w:val="21"/>
          <w:szCs w:val="21"/>
        </w:rPr>
        <w:fldChar w:fldCharType="separate"/>
      </w: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_Toc8975 </w:instrText>
      </w:r>
      <w:r>
        <w:rPr>
          <w:rFonts w:hint="eastAsia" w:ascii="仿宋" w:hAnsi="仿宋" w:eastAsia="仿宋" w:cs="仿宋"/>
          <w:szCs w:val="21"/>
        </w:rPr>
        <w:fldChar w:fldCharType="separate"/>
      </w:r>
      <w:r>
        <w:rPr>
          <w:rFonts w:hint="eastAsia" w:ascii="仿宋" w:hAnsi="仿宋" w:eastAsia="仿宋" w:cs="仿宋"/>
        </w:rPr>
        <w:t>一、专业名称及代码</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_Toc8975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2"/>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_Toc24417 </w:instrText>
      </w:r>
      <w:r>
        <w:rPr>
          <w:rFonts w:hint="eastAsia" w:ascii="仿宋" w:hAnsi="仿宋" w:eastAsia="仿宋" w:cs="仿宋"/>
          <w:szCs w:val="21"/>
        </w:rPr>
        <w:fldChar w:fldCharType="separate"/>
      </w:r>
      <w:r>
        <w:rPr>
          <w:rFonts w:hint="eastAsia" w:ascii="仿宋" w:hAnsi="仿宋" w:eastAsia="仿宋" w:cs="仿宋"/>
        </w:rPr>
        <w:t>二、入学要求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_Toc24417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2"/>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_Toc190 </w:instrText>
      </w:r>
      <w:r>
        <w:rPr>
          <w:rFonts w:hint="eastAsia" w:ascii="仿宋" w:hAnsi="仿宋" w:eastAsia="仿宋" w:cs="仿宋"/>
          <w:szCs w:val="21"/>
        </w:rPr>
        <w:fldChar w:fldCharType="separate"/>
      </w:r>
      <w:r>
        <w:rPr>
          <w:rFonts w:hint="eastAsia" w:ascii="仿宋" w:hAnsi="仿宋" w:eastAsia="仿宋" w:cs="仿宋"/>
        </w:rPr>
        <w:t>三、 修业年限</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_Toc190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2"/>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_Toc7644 </w:instrText>
      </w:r>
      <w:r>
        <w:rPr>
          <w:rFonts w:hint="eastAsia" w:ascii="仿宋" w:hAnsi="仿宋" w:eastAsia="仿宋" w:cs="仿宋"/>
          <w:szCs w:val="21"/>
        </w:rPr>
        <w:fldChar w:fldCharType="separate"/>
      </w:r>
      <w:r>
        <w:rPr>
          <w:rFonts w:hint="eastAsia" w:ascii="仿宋" w:hAnsi="仿宋" w:eastAsia="仿宋" w:cs="仿宋"/>
        </w:rPr>
        <w:t>四、职业面向</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_Toc7644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4"/>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_Toc30287 </w:instrText>
      </w:r>
      <w:r>
        <w:rPr>
          <w:rFonts w:hint="eastAsia" w:ascii="仿宋" w:hAnsi="仿宋" w:eastAsia="仿宋" w:cs="仿宋"/>
          <w:szCs w:val="21"/>
        </w:rPr>
        <w:fldChar w:fldCharType="separate"/>
      </w:r>
      <w:r>
        <w:rPr>
          <w:rFonts w:hint="eastAsia" w:ascii="仿宋" w:hAnsi="仿宋" w:eastAsia="仿宋" w:cs="仿宋"/>
          <w:lang w:val="en-US" w:eastAsia="zh-CN"/>
        </w:rPr>
        <w:t>（一）服务面向</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_Toc30287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3"/>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_Toc830 </w:instrText>
      </w:r>
      <w:r>
        <w:rPr>
          <w:rFonts w:hint="eastAsia" w:ascii="仿宋" w:hAnsi="仿宋" w:eastAsia="仿宋" w:cs="仿宋"/>
          <w:szCs w:val="21"/>
        </w:rPr>
        <w:fldChar w:fldCharType="separate"/>
      </w:r>
      <w:r>
        <w:rPr>
          <w:rFonts w:hint="eastAsia" w:ascii="仿宋" w:hAnsi="仿宋" w:eastAsia="仿宋" w:cs="仿宋"/>
          <w:lang w:val="en-US"/>
        </w:rPr>
        <w:t xml:space="preserve">表1 </w:t>
      </w:r>
      <w:r>
        <w:rPr>
          <w:rFonts w:hint="eastAsia" w:ascii="仿宋" w:hAnsi="仿宋" w:eastAsia="仿宋" w:cs="仿宋"/>
          <w:lang w:eastAsia="zh-CN"/>
        </w:rPr>
        <w:t>智慧健康养老服务与管理专业</w:t>
      </w:r>
      <w:r>
        <w:rPr>
          <w:rFonts w:hint="eastAsia" w:ascii="仿宋" w:hAnsi="仿宋" w:eastAsia="仿宋" w:cs="仿宋"/>
          <w:lang w:val="en-US"/>
        </w:rPr>
        <w:t>服务面向</w:t>
      </w:r>
      <w:r>
        <w:rPr>
          <w:rFonts w:hint="eastAsia" w:ascii="仿宋" w:hAnsi="仿宋" w:eastAsia="仿宋" w:cs="仿宋"/>
        </w:rPr>
        <w:t>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_Toc830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2"/>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_Toc26499 </w:instrText>
      </w:r>
      <w:r>
        <w:rPr>
          <w:rFonts w:hint="eastAsia" w:ascii="仿宋" w:hAnsi="仿宋" w:eastAsia="仿宋" w:cs="仿宋"/>
          <w:szCs w:val="21"/>
        </w:rPr>
        <w:fldChar w:fldCharType="separate"/>
      </w:r>
      <w:r>
        <w:rPr>
          <w:rFonts w:hint="eastAsia" w:ascii="仿宋" w:hAnsi="仿宋" w:eastAsia="仿宋" w:cs="仿宋"/>
          <w:lang w:val="en-US" w:eastAsia="zh-CN"/>
        </w:rPr>
        <w:t>五、</w:t>
      </w:r>
      <w:r>
        <w:rPr>
          <w:rFonts w:hint="eastAsia" w:ascii="仿宋" w:hAnsi="仿宋" w:eastAsia="仿宋" w:cs="仿宋"/>
        </w:rPr>
        <w:t>培养目标与培养规格</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_Toc26499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4"/>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_Toc9327 </w:instrText>
      </w:r>
      <w:r>
        <w:rPr>
          <w:rFonts w:hint="eastAsia" w:ascii="仿宋" w:hAnsi="仿宋" w:eastAsia="仿宋" w:cs="仿宋"/>
          <w:szCs w:val="21"/>
        </w:rPr>
        <w:fldChar w:fldCharType="separate"/>
      </w:r>
      <w:r>
        <w:rPr>
          <w:rFonts w:hint="eastAsia" w:ascii="仿宋" w:hAnsi="仿宋" w:eastAsia="仿宋" w:cs="仿宋"/>
        </w:rPr>
        <w:t>（一）培养目标</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_Toc9327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4"/>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_Toc11488 </w:instrText>
      </w:r>
      <w:r>
        <w:rPr>
          <w:rFonts w:hint="eastAsia" w:ascii="仿宋" w:hAnsi="仿宋" w:eastAsia="仿宋" w:cs="仿宋"/>
          <w:szCs w:val="21"/>
        </w:rPr>
        <w:fldChar w:fldCharType="separate"/>
      </w:r>
      <w:r>
        <w:rPr>
          <w:rFonts w:hint="eastAsia" w:ascii="仿宋" w:hAnsi="仿宋" w:eastAsia="仿宋" w:cs="仿宋"/>
        </w:rPr>
        <w:t>（二） 培养规格</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_Toc11488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9"/>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_Toc20446 </w:instrText>
      </w:r>
      <w:r>
        <w:rPr>
          <w:rFonts w:hint="eastAsia" w:ascii="仿宋" w:hAnsi="仿宋" w:eastAsia="仿宋" w:cs="仿宋"/>
          <w:szCs w:val="21"/>
        </w:rPr>
        <w:fldChar w:fldCharType="separate"/>
      </w:r>
      <w:r>
        <w:rPr>
          <w:rFonts w:hint="eastAsia" w:ascii="仿宋" w:hAnsi="仿宋" w:eastAsia="仿宋" w:cs="仿宋"/>
        </w:rPr>
        <w:t>1、 知识要求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_Toc20446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9"/>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_Toc1064 </w:instrText>
      </w:r>
      <w:r>
        <w:rPr>
          <w:rFonts w:hint="eastAsia" w:ascii="仿宋" w:hAnsi="仿宋" w:eastAsia="仿宋" w:cs="仿宋"/>
          <w:szCs w:val="21"/>
        </w:rPr>
        <w:fldChar w:fldCharType="separate"/>
      </w:r>
      <w:r>
        <w:rPr>
          <w:rFonts w:hint="eastAsia" w:ascii="仿宋" w:hAnsi="仿宋" w:eastAsia="仿宋" w:cs="仿宋"/>
        </w:rPr>
        <w:t>2、能力要求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_Toc1064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9"/>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_Toc22767 </w:instrText>
      </w:r>
      <w:r>
        <w:rPr>
          <w:rFonts w:hint="eastAsia" w:ascii="仿宋" w:hAnsi="仿宋" w:eastAsia="仿宋" w:cs="仿宋"/>
          <w:szCs w:val="21"/>
        </w:rPr>
        <w:fldChar w:fldCharType="separate"/>
      </w:r>
      <w:r>
        <w:rPr>
          <w:rFonts w:hint="eastAsia" w:ascii="仿宋" w:hAnsi="仿宋" w:eastAsia="仿宋" w:cs="仿宋"/>
        </w:rPr>
        <w:t>3、素质要求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_Toc22767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2"/>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_Toc26969 </w:instrText>
      </w:r>
      <w:r>
        <w:rPr>
          <w:rFonts w:hint="eastAsia" w:ascii="仿宋" w:hAnsi="仿宋" w:eastAsia="仿宋" w:cs="仿宋"/>
          <w:szCs w:val="21"/>
        </w:rPr>
        <w:fldChar w:fldCharType="separate"/>
      </w:r>
      <w:r>
        <w:rPr>
          <w:rFonts w:hint="eastAsia" w:ascii="仿宋" w:hAnsi="仿宋" w:eastAsia="仿宋" w:cs="仿宋"/>
          <w:lang w:val="en-US" w:eastAsia="zh-CN"/>
        </w:rPr>
        <w:t>六、</w:t>
      </w:r>
      <w:r>
        <w:rPr>
          <w:rFonts w:hint="eastAsia" w:ascii="仿宋" w:hAnsi="仿宋" w:eastAsia="仿宋" w:cs="仿宋"/>
        </w:rPr>
        <w:t>课程设置及要求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_Toc26969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4"/>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_Toc8393 </w:instrText>
      </w:r>
      <w:r>
        <w:rPr>
          <w:rFonts w:hint="eastAsia" w:ascii="仿宋" w:hAnsi="仿宋" w:eastAsia="仿宋" w:cs="仿宋"/>
          <w:szCs w:val="21"/>
        </w:rPr>
        <w:fldChar w:fldCharType="separate"/>
      </w:r>
      <w:r>
        <w:rPr>
          <w:rFonts w:hint="eastAsia" w:ascii="仿宋" w:hAnsi="仿宋" w:eastAsia="仿宋" w:cs="仿宋"/>
        </w:rPr>
        <w:t>（一）公共基础课程</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_Toc8393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3"/>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_Toc16799 </w:instrText>
      </w:r>
      <w:r>
        <w:rPr>
          <w:rFonts w:hint="eastAsia" w:ascii="仿宋" w:hAnsi="仿宋" w:eastAsia="仿宋" w:cs="仿宋"/>
          <w:szCs w:val="21"/>
        </w:rPr>
        <w:fldChar w:fldCharType="separate"/>
      </w:r>
      <w:r>
        <w:rPr>
          <w:rFonts w:hint="eastAsia" w:ascii="仿宋" w:hAnsi="仿宋" w:eastAsia="仿宋" w:cs="仿宋"/>
        </w:rPr>
        <w:t xml:space="preserve">表 </w:t>
      </w:r>
      <w:r>
        <w:rPr>
          <w:rFonts w:hint="eastAsia" w:ascii="仿宋" w:hAnsi="仿宋" w:eastAsia="仿宋" w:cs="仿宋"/>
          <w:lang w:val="en-US"/>
        </w:rPr>
        <w:t>2</w:t>
      </w:r>
      <w:r>
        <w:rPr>
          <w:rFonts w:hint="eastAsia" w:ascii="仿宋" w:hAnsi="仿宋" w:eastAsia="仿宋" w:cs="仿宋"/>
        </w:rPr>
        <w:t xml:space="preserve"> </w:t>
      </w:r>
      <w:r>
        <w:rPr>
          <w:rFonts w:hint="eastAsia" w:ascii="仿宋" w:hAnsi="仿宋" w:eastAsia="仿宋" w:cs="仿宋"/>
          <w:lang w:eastAsia="zh-CN"/>
        </w:rPr>
        <w:t>智慧健康养老服务与管理专业</w:t>
      </w:r>
      <w:r>
        <w:rPr>
          <w:rFonts w:hint="eastAsia" w:ascii="仿宋" w:hAnsi="仿宋" w:eastAsia="仿宋" w:cs="仿宋"/>
          <w:lang w:val="en-US"/>
        </w:rPr>
        <w:t>公共基础课程概述</w:t>
      </w:r>
      <w:r>
        <w:rPr>
          <w:rFonts w:hint="eastAsia" w:ascii="仿宋" w:hAnsi="仿宋" w:eastAsia="仿宋" w:cs="仿宋"/>
        </w:rPr>
        <w:t>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_Toc16799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4"/>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_Toc17951 </w:instrText>
      </w:r>
      <w:r>
        <w:rPr>
          <w:rFonts w:hint="eastAsia" w:ascii="仿宋" w:hAnsi="仿宋" w:eastAsia="仿宋" w:cs="仿宋"/>
          <w:szCs w:val="21"/>
        </w:rPr>
        <w:fldChar w:fldCharType="separate"/>
      </w:r>
      <w:r>
        <w:rPr>
          <w:rFonts w:hint="eastAsia" w:ascii="仿宋" w:hAnsi="仿宋" w:eastAsia="仿宋" w:cs="仿宋"/>
          <w:lang w:eastAsia="zh-CN"/>
        </w:rPr>
        <w:t>（</w:t>
      </w:r>
      <w:r>
        <w:rPr>
          <w:rFonts w:hint="eastAsia" w:ascii="仿宋" w:hAnsi="仿宋" w:eastAsia="仿宋" w:cs="仿宋"/>
          <w:lang w:val="en-US" w:eastAsia="zh-CN"/>
        </w:rPr>
        <w:t>二）</w:t>
      </w:r>
      <w:r>
        <w:rPr>
          <w:rFonts w:hint="eastAsia" w:ascii="仿宋" w:hAnsi="仿宋" w:eastAsia="仿宋" w:cs="仿宋"/>
        </w:rPr>
        <w:t>专业（技能）课程概述</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_Toc17951 </w:instrText>
      </w:r>
      <w:r>
        <w:rPr>
          <w:rFonts w:hint="eastAsia" w:ascii="仿宋" w:hAnsi="仿宋" w:eastAsia="仿宋" w:cs="仿宋"/>
        </w:rPr>
        <w:fldChar w:fldCharType="separate"/>
      </w:r>
      <w:r>
        <w:rPr>
          <w:rFonts w:hint="eastAsia" w:ascii="仿宋" w:hAnsi="仿宋" w:eastAsia="仿宋" w:cs="仿宋"/>
        </w:rPr>
        <w:t>4</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3"/>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_Toc3653 </w:instrText>
      </w:r>
      <w:r>
        <w:rPr>
          <w:rFonts w:hint="eastAsia" w:ascii="仿宋" w:hAnsi="仿宋" w:eastAsia="仿宋" w:cs="仿宋"/>
          <w:szCs w:val="21"/>
        </w:rPr>
        <w:fldChar w:fldCharType="separate"/>
      </w:r>
      <w:r>
        <w:rPr>
          <w:rFonts w:hint="eastAsia" w:ascii="仿宋" w:hAnsi="仿宋" w:eastAsia="仿宋" w:cs="仿宋"/>
        </w:rPr>
        <w:t xml:space="preserve">表3 </w:t>
      </w:r>
      <w:r>
        <w:rPr>
          <w:rFonts w:hint="eastAsia" w:ascii="仿宋" w:hAnsi="仿宋" w:eastAsia="仿宋" w:cs="仿宋"/>
          <w:lang w:eastAsia="zh-CN"/>
        </w:rPr>
        <w:t>智慧健康养老服务与管理专业</w:t>
      </w:r>
      <w:r>
        <w:rPr>
          <w:rFonts w:hint="eastAsia" w:ascii="仿宋" w:hAnsi="仿宋" w:eastAsia="仿宋" w:cs="仿宋"/>
        </w:rPr>
        <w:t>专业课程概述表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_Toc3653 </w:instrText>
      </w:r>
      <w:r>
        <w:rPr>
          <w:rFonts w:hint="eastAsia" w:ascii="仿宋" w:hAnsi="仿宋" w:eastAsia="仿宋" w:cs="仿宋"/>
        </w:rPr>
        <w:fldChar w:fldCharType="separate"/>
      </w:r>
      <w:r>
        <w:rPr>
          <w:rFonts w:hint="eastAsia" w:ascii="仿宋" w:hAnsi="仿宋" w:eastAsia="仿宋" w:cs="仿宋"/>
        </w:rPr>
        <w:t>4</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2"/>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_Toc21710 </w:instrText>
      </w:r>
      <w:r>
        <w:rPr>
          <w:rFonts w:hint="eastAsia" w:ascii="仿宋" w:hAnsi="仿宋" w:eastAsia="仿宋" w:cs="仿宋"/>
          <w:szCs w:val="21"/>
        </w:rPr>
        <w:fldChar w:fldCharType="separate"/>
      </w:r>
      <w:r>
        <w:rPr>
          <w:rFonts w:hint="eastAsia" w:ascii="仿宋" w:hAnsi="仿宋" w:eastAsia="仿宋" w:cs="仿宋"/>
        </w:rPr>
        <w:t>七、学时安排</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_Toc21710 </w:instrText>
      </w:r>
      <w:r>
        <w:rPr>
          <w:rFonts w:hint="eastAsia" w:ascii="仿宋" w:hAnsi="仿宋" w:eastAsia="仿宋" w:cs="仿宋"/>
        </w:rPr>
        <w:fldChar w:fldCharType="separate"/>
      </w:r>
      <w:r>
        <w:rPr>
          <w:rFonts w:hint="eastAsia" w:ascii="仿宋" w:hAnsi="仿宋" w:eastAsia="仿宋" w:cs="仿宋"/>
        </w:rPr>
        <w:t>9</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4"/>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_Toc1142 </w:instrText>
      </w:r>
      <w:r>
        <w:rPr>
          <w:rFonts w:hint="eastAsia" w:ascii="仿宋" w:hAnsi="仿宋" w:eastAsia="仿宋" w:cs="仿宋"/>
          <w:szCs w:val="21"/>
        </w:rPr>
        <w:fldChar w:fldCharType="separate"/>
      </w:r>
      <w:r>
        <w:rPr>
          <w:rFonts w:hint="eastAsia" w:ascii="仿宋" w:hAnsi="仿宋" w:eastAsia="仿宋" w:cs="仿宋"/>
        </w:rPr>
        <w:t>（一）教学活动周进程安排表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_Toc1142 </w:instrText>
      </w:r>
      <w:r>
        <w:rPr>
          <w:rFonts w:hint="eastAsia" w:ascii="仿宋" w:hAnsi="仿宋" w:eastAsia="仿宋" w:cs="仿宋"/>
        </w:rPr>
        <w:fldChar w:fldCharType="separate"/>
      </w:r>
      <w:r>
        <w:rPr>
          <w:rFonts w:hint="eastAsia" w:ascii="仿宋" w:hAnsi="仿宋" w:eastAsia="仿宋" w:cs="仿宋"/>
        </w:rPr>
        <w:t>9</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3"/>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_Toc2858 </w:instrText>
      </w:r>
      <w:r>
        <w:rPr>
          <w:rFonts w:hint="eastAsia" w:ascii="仿宋" w:hAnsi="仿宋" w:eastAsia="仿宋" w:cs="仿宋"/>
          <w:szCs w:val="21"/>
        </w:rPr>
        <w:fldChar w:fldCharType="separate"/>
      </w:r>
      <w:r>
        <w:rPr>
          <w:rFonts w:hint="eastAsia" w:ascii="仿宋" w:hAnsi="仿宋" w:eastAsia="仿宋" w:cs="仿宋"/>
        </w:rPr>
        <w:t>表</w:t>
      </w:r>
      <w:r>
        <w:rPr>
          <w:rFonts w:hint="eastAsia" w:ascii="仿宋" w:hAnsi="仿宋" w:eastAsia="仿宋" w:cs="仿宋"/>
          <w:lang w:val="en-US" w:eastAsia="zh-CN"/>
        </w:rPr>
        <w:t>4</w:t>
      </w:r>
      <w:r>
        <w:rPr>
          <w:rFonts w:hint="eastAsia" w:ascii="仿宋" w:hAnsi="仿宋" w:eastAsia="仿宋" w:cs="仿宋"/>
          <w:lang w:val="en-US"/>
        </w:rPr>
        <w:t xml:space="preserve"> 教学活动周进程安排</w:t>
      </w:r>
      <w:r>
        <w:rPr>
          <w:rFonts w:hint="eastAsia" w:ascii="仿宋" w:hAnsi="仿宋" w:eastAsia="仿宋" w:cs="仿宋"/>
        </w:rPr>
        <w:t>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_Toc2858 </w:instrText>
      </w:r>
      <w:r>
        <w:rPr>
          <w:rFonts w:hint="eastAsia" w:ascii="仿宋" w:hAnsi="仿宋" w:eastAsia="仿宋" w:cs="仿宋"/>
        </w:rPr>
        <w:fldChar w:fldCharType="separate"/>
      </w:r>
      <w:r>
        <w:rPr>
          <w:rFonts w:hint="eastAsia" w:ascii="仿宋" w:hAnsi="仿宋" w:eastAsia="仿宋" w:cs="仿宋"/>
        </w:rPr>
        <w:t>9</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4"/>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_Toc6072 </w:instrText>
      </w:r>
      <w:r>
        <w:rPr>
          <w:rFonts w:hint="eastAsia" w:ascii="仿宋" w:hAnsi="仿宋" w:eastAsia="仿宋" w:cs="仿宋"/>
          <w:szCs w:val="21"/>
        </w:rPr>
        <w:fldChar w:fldCharType="separate"/>
      </w:r>
      <w:r>
        <w:rPr>
          <w:rFonts w:hint="eastAsia" w:ascii="仿宋" w:hAnsi="仿宋" w:eastAsia="仿宋" w:cs="仿宋"/>
        </w:rPr>
        <w:t>（</w:t>
      </w:r>
      <w:r>
        <w:rPr>
          <w:rFonts w:hint="eastAsia" w:ascii="仿宋" w:hAnsi="仿宋" w:eastAsia="仿宋" w:cs="仿宋"/>
          <w:lang w:val="en-US" w:eastAsia="zh-CN"/>
        </w:rPr>
        <w:t>二</w:t>
      </w:r>
      <w:r>
        <w:rPr>
          <w:rFonts w:hint="eastAsia" w:ascii="仿宋" w:hAnsi="仿宋" w:eastAsia="仿宋" w:cs="仿宋"/>
        </w:rPr>
        <w:t>）教学</w:t>
      </w:r>
      <w:r>
        <w:rPr>
          <w:rFonts w:hint="eastAsia" w:ascii="仿宋" w:hAnsi="仿宋" w:eastAsia="仿宋" w:cs="仿宋"/>
          <w:lang w:val="en-US" w:eastAsia="zh-CN"/>
        </w:rPr>
        <w:t>环节周具体</w:t>
      </w:r>
      <w:r>
        <w:rPr>
          <w:rFonts w:hint="eastAsia" w:ascii="仿宋" w:hAnsi="仿宋" w:eastAsia="仿宋" w:cs="仿宋"/>
        </w:rPr>
        <w:t>安排表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_Toc6072 </w:instrText>
      </w:r>
      <w:r>
        <w:rPr>
          <w:rFonts w:hint="eastAsia" w:ascii="仿宋" w:hAnsi="仿宋" w:eastAsia="仿宋" w:cs="仿宋"/>
        </w:rPr>
        <w:fldChar w:fldCharType="separate"/>
      </w:r>
      <w:r>
        <w:rPr>
          <w:rFonts w:hint="eastAsia" w:ascii="仿宋" w:hAnsi="仿宋" w:eastAsia="仿宋" w:cs="仿宋"/>
        </w:rPr>
        <w:t>9</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3"/>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_Toc11006 </w:instrText>
      </w:r>
      <w:r>
        <w:rPr>
          <w:rFonts w:hint="eastAsia" w:ascii="仿宋" w:hAnsi="仿宋" w:eastAsia="仿宋" w:cs="仿宋"/>
          <w:szCs w:val="21"/>
        </w:rPr>
        <w:fldChar w:fldCharType="separate"/>
      </w:r>
      <w:r>
        <w:rPr>
          <w:rFonts w:hint="eastAsia" w:ascii="仿宋" w:hAnsi="仿宋" w:eastAsia="仿宋" w:cs="仿宋"/>
          <w:lang w:val="en-US"/>
        </w:rPr>
        <w:t>表</w:t>
      </w:r>
      <w:r>
        <w:rPr>
          <w:rFonts w:hint="eastAsia" w:ascii="仿宋" w:hAnsi="仿宋" w:eastAsia="仿宋" w:cs="仿宋"/>
          <w:lang w:val="en-US" w:eastAsia="zh-CN"/>
        </w:rPr>
        <w:t>5</w:t>
      </w:r>
      <w:r>
        <w:rPr>
          <w:rFonts w:hint="eastAsia" w:ascii="仿宋" w:hAnsi="仿宋" w:eastAsia="仿宋" w:cs="仿宋"/>
          <w:lang w:val="en-US"/>
        </w:rPr>
        <w:t xml:space="preserve"> 教学环节周具体安排表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_Toc11006 </w:instrText>
      </w:r>
      <w:r>
        <w:rPr>
          <w:rFonts w:hint="eastAsia" w:ascii="仿宋" w:hAnsi="仿宋" w:eastAsia="仿宋" w:cs="仿宋"/>
        </w:rPr>
        <w:fldChar w:fldCharType="separate"/>
      </w:r>
      <w:r>
        <w:rPr>
          <w:rFonts w:hint="eastAsia" w:ascii="仿宋" w:hAnsi="仿宋" w:eastAsia="仿宋" w:cs="仿宋"/>
        </w:rPr>
        <w:t>9</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2"/>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_Toc13702 </w:instrText>
      </w:r>
      <w:r>
        <w:rPr>
          <w:rFonts w:hint="eastAsia" w:ascii="仿宋" w:hAnsi="仿宋" w:eastAsia="仿宋" w:cs="仿宋"/>
          <w:szCs w:val="21"/>
        </w:rPr>
        <w:fldChar w:fldCharType="separate"/>
      </w:r>
      <w:r>
        <w:rPr>
          <w:rFonts w:hint="eastAsia" w:ascii="仿宋" w:hAnsi="仿宋" w:eastAsia="仿宋" w:cs="仿宋"/>
        </w:rPr>
        <w:t>八、教学进程总体安排</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_Toc13702 </w:instrText>
      </w:r>
      <w:r>
        <w:rPr>
          <w:rFonts w:hint="eastAsia" w:ascii="仿宋" w:hAnsi="仿宋" w:eastAsia="仿宋" w:cs="仿宋"/>
        </w:rPr>
        <w:fldChar w:fldCharType="separate"/>
      </w:r>
      <w:r>
        <w:rPr>
          <w:rFonts w:hint="eastAsia" w:ascii="仿宋" w:hAnsi="仿宋" w:eastAsia="仿宋" w:cs="仿宋"/>
        </w:rPr>
        <w:t>10</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3"/>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_Toc15186 </w:instrText>
      </w:r>
      <w:r>
        <w:rPr>
          <w:rFonts w:hint="eastAsia" w:ascii="仿宋" w:hAnsi="仿宋" w:eastAsia="仿宋" w:cs="仿宋"/>
          <w:szCs w:val="21"/>
        </w:rPr>
        <w:fldChar w:fldCharType="separate"/>
      </w:r>
      <w:r>
        <w:rPr>
          <w:rFonts w:hint="eastAsia" w:ascii="仿宋" w:hAnsi="仿宋" w:eastAsia="仿宋" w:cs="仿宋"/>
        </w:rPr>
        <w:t>表</w:t>
      </w:r>
      <w:r>
        <w:rPr>
          <w:rFonts w:hint="eastAsia" w:ascii="仿宋" w:hAnsi="仿宋" w:eastAsia="仿宋" w:cs="仿宋"/>
          <w:lang w:val="en-US" w:eastAsia="zh-CN"/>
        </w:rPr>
        <w:t>6</w:t>
      </w:r>
      <w:r>
        <w:rPr>
          <w:rFonts w:hint="eastAsia" w:ascii="仿宋" w:hAnsi="仿宋" w:eastAsia="仿宋" w:cs="仿宋"/>
        </w:rPr>
        <w:t xml:space="preserve"> 学分和学时分布表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_Toc15186 </w:instrText>
      </w:r>
      <w:r>
        <w:rPr>
          <w:rFonts w:hint="eastAsia" w:ascii="仿宋" w:hAnsi="仿宋" w:eastAsia="仿宋" w:cs="仿宋"/>
        </w:rPr>
        <w:fldChar w:fldCharType="separate"/>
      </w:r>
      <w:r>
        <w:rPr>
          <w:rFonts w:hint="eastAsia" w:ascii="仿宋" w:hAnsi="仿宋" w:eastAsia="仿宋" w:cs="仿宋"/>
        </w:rPr>
        <w:t>10</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3"/>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_Toc8821 </w:instrText>
      </w:r>
      <w:r>
        <w:rPr>
          <w:rFonts w:hint="eastAsia" w:ascii="仿宋" w:hAnsi="仿宋" w:eastAsia="仿宋" w:cs="仿宋"/>
          <w:szCs w:val="21"/>
        </w:rPr>
        <w:fldChar w:fldCharType="separate"/>
      </w:r>
      <w:r>
        <w:rPr>
          <w:rFonts w:hint="eastAsia" w:ascii="仿宋" w:hAnsi="仿宋" w:eastAsia="仿宋" w:cs="仿宋"/>
        </w:rPr>
        <w:t>表</w:t>
      </w:r>
      <w:r>
        <w:rPr>
          <w:rFonts w:hint="eastAsia" w:ascii="仿宋" w:hAnsi="仿宋" w:eastAsia="仿宋" w:cs="仿宋"/>
          <w:lang w:val="en-US" w:eastAsia="zh-CN"/>
        </w:rPr>
        <w:t>7</w:t>
      </w:r>
      <w:r>
        <w:rPr>
          <w:rFonts w:hint="eastAsia" w:ascii="仿宋" w:hAnsi="仿宋" w:eastAsia="仿宋" w:cs="仿宋"/>
        </w:rPr>
        <w:t xml:space="preserve"> 专业必修课教学进程安排表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_Toc8821 </w:instrText>
      </w:r>
      <w:r>
        <w:rPr>
          <w:rFonts w:hint="eastAsia" w:ascii="仿宋" w:hAnsi="仿宋" w:eastAsia="仿宋" w:cs="仿宋"/>
        </w:rPr>
        <w:fldChar w:fldCharType="separate"/>
      </w:r>
      <w:r>
        <w:rPr>
          <w:rFonts w:hint="eastAsia" w:ascii="仿宋" w:hAnsi="仿宋" w:eastAsia="仿宋" w:cs="仿宋"/>
        </w:rPr>
        <w:t>10</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3"/>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_Toc2403 </w:instrText>
      </w:r>
      <w:r>
        <w:rPr>
          <w:rFonts w:hint="eastAsia" w:ascii="仿宋" w:hAnsi="仿宋" w:eastAsia="仿宋" w:cs="仿宋"/>
          <w:szCs w:val="21"/>
        </w:rPr>
        <w:fldChar w:fldCharType="separate"/>
      </w:r>
      <w:r>
        <w:rPr>
          <w:rFonts w:hint="eastAsia" w:ascii="仿宋" w:hAnsi="仿宋" w:eastAsia="仿宋" w:cs="仿宋"/>
        </w:rPr>
        <w:t>表</w:t>
      </w:r>
      <w:r>
        <w:rPr>
          <w:rFonts w:hint="eastAsia" w:ascii="仿宋" w:hAnsi="仿宋" w:eastAsia="仿宋" w:cs="仿宋"/>
          <w:lang w:val="en-US" w:eastAsia="zh-CN"/>
        </w:rPr>
        <w:t>8</w:t>
      </w:r>
      <w:r>
        <w:rPr>
          <w:rFonts w:hint="eastAsia" w:ascii="仿宋" w:hAnsi="仿宋" w:eastAsia="仿宋" w:cs="仿宋"/>
        </w:rPr>
        <w:t xml:space="preserve"> 选修课教学进程安排表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_Toc2403 </w:instrText>
      </w:r>
      <w:r>
        <w:rPr>
          <w:rFonts w:hint="eastAsia" w:ascii="仿宋" w:hAnsi="仿宋" w:eastAsia="仿宋" w:cs="仿宋"/>
        </w:rPr>
        <w:fldChar w:fldCharType="separate"/>
      </w:r>
      <w:r>
        <w:rPr>
          <w:rFonts w:hint="eastAsia" w:ascii="仿宋" w:hAnsi="仿宋" w:eastAsia="仿宋" w:cs="仿宋"/>
        </w:rPr>
        <w:t>11</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3"/>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_Toc11720 </w:instrText>
      </w:r>
      <w:r>
        <w:rPr>
          <w:rFonts w:hint="eastAsia" w:ascii="仿宋" w:hAnsi="仿宋" w:eastAsia="仿宋" w:cs="仿宋"/>
          <w:szCs w:val="21"/>
        </w:rPr>
        <w:fldChar w:fldCharType="separate"/>
      </w:r>
      <w:r>
        <w:rPr>
          <w:rFonts w:hint="eastAsia" w:ascii="仿宋" w:hAnsi="仿宋" w:eastAsia="仿宋" w:cs="仿宋"/>
        </w:rPr>
        <w:t>表</w:t>
      </w:r>
      <w:r>
        <w:rPr>
          <w:rFonts w:hint="eastAsia" w:ascii="仿宋" w:hAnsi="仿宋" w:eastAsia="仿宋" w:cs="仿宋"/>
          <w:lang w:val="en-US" w:eastAsia="zh-CN"/>
        </w:rPr>
        <w:t>9</w:t>
      </w:r>
      <w:r>
        <w:rPr>
          <w:rFonts w:hint="eastAsia" w:ascii="仿宋" w:hAnsi="仿宋" w:eastAsia="仿宋" w:cs="仿宋"/>
        </w:rPr>
        <w:t xml:space="preserve"> 实践教学进程安排表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_Toc11720 </w:instrText>
      </w:r>
      <w:r>
        <w:rPr>
          <w:rFonts w:hint="eastAsia" w:ascii="仿宋" w:hAnsi="仿宋" w:eastAsia="仿宋" w:cs="仿宋"/>
        </w:rPr>
        <w:fldChar w:fldCharType="separate"/>
      </w:r>
      <w:r>
        <w:rPr>
          <w:rFonts w:hint="eastAsia" w:ascii="仿宋" w:hAnsi="仿宋" w:eastAsia="仿宋" w:cs="仿宋"/>
        </w:rPr>
        <w:t>13</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2"/>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_Toc27261 </w:instrText>
      </w:r>
      <w:r>
        <w:rPr>
          <w:rFonts w:hint="eastAsia" w:ascii="仿宋" w:hAnsi="仿宋" w:eastAsia="仿宋" w:cs="仿宋"/>
          <w:szCs w:val="21"/>
        </w:rPr>
        <w:fldChar w:fldCharType="separate"/>
      </w:r>
      <w:r>
        <w:rPr>
          <w:rFonts w:hint="eastAsia" w:ascii="仿宋" w:hAnsi="仿宋" w:eastAsia="仿宋" w:cs="仿宋"/>
        </w:rPr>
        <w:t>九、实施保障</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_Toc27261 </w:instrText>
      </w:r>
      <w:r>
        <w:rPr>
          <w:rFonts w:hint="eastAsia" w:ascii="仿宋" w:hAnsi="仿宋" w:eastAsia="仿宋" w:cs="仿宋"/>
        </w:rPr>
        <w:fldChar w:fldCharType="separate"/>
      </w:r>
      <w:r>
        <w:rPr>
          <w:rFonts w:hint="eastAsia" w:ascii="仿宋" w:hAnsi="仿宋" w:eastAsia="仿宋" w:cs="仿宋"/>
        </w:rPr>
        <w:t>14</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4"/>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_Toc22113 </w:instrText>
      </w:r>
      <w:r>
        <w:rPr>
          <w:rFonts w:hint="eastAsia" w:ascii="仿宋" w:hAnsi="仿宋" w:eastAsia="仿宋" w:cs="仿宋"/>
          <w:szCs w:val="21"/>
        </w:rPr>
        <w:fldChar w:fldCharType="separate"/>
      </w:r>
      <w:r>
        <w:rPr>
          <w:rFonts w:hint="eastAsia" w:ascii="仿宋" w:hAnsi="仿宋" w:eastAsia="仿宋" w:cs="仿宋"/>
        </w:rPr>
        <w:t>（一）师资队伍</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_Toc22113 </w:instrText>
      </w:r>
      <w:r>
        <w:rPr>
          <w:rFonts w:hint="eastAsia" w:ascii="仿宋" w:hAnsi="仿宋" w:eastAsia="仿宋" w:cs="仿宋"/>
        </w:rPr>
        <w:fldChar w:fldCharType="separate"/>
      </w:r>
      <w:r>
        <w:rPr>
          <w:rFonts w:hint="eastAsia" w:ascii="仿宋" w:hAnsi="仿宋" w:eastAsia="仿宋" w:cs="仿宋"/>
        </w:rPr>
        <w:t>14</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9"/>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_Toc3484 </w:instrText>
      </w:r>
      <w:r>
        <w:rPr>
          <w:rFonts w:hint="eastAsia" w:ascii="仿宋" w:hAnsi="仿宋" w:eastAsia="仿宋" w:cs="仿宋"/>
          <w:szCs w:val="21"/>
        </w:rPr>
        <w:fldChar w:fldCharType="separate"/>
      </w:r>
      <w:r>
        <w:rPr>
          <w:rFonts w:hint="eastAsia" w:ascii="仿宋" w:hAnsi="仿宋" w:eastAsia="仿宋" w:cs="仿宋"/>
        </w:rPr>
        <w:t>1、专业教学团队师资配置要求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_Toc3484 </w:instrText>
      </w:r>
      <w:r>
        <w:rPr>
          <w:rFonts w:hint="eastAsia" w:ascii="仿宋" w:hAnsi="仿宋" w:eastAsia="仿宋" w:cs="仿宋"/>
        </w:rPr>
        <w:fldChar w:fldCharType="separate"/>
      </w:r>
      <w:r>
        <w:rPr>
          <w:rFonts w:hint="eastAsia" w:ascii="仿宋" w:hAnsi="仿宋" w:eastAsia="仿宋" w:cs="仿宋"/>
        </w:rPr>
        <w:t>14</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9"/>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_Toc5226 </w:instrText>
      </w:r>
      <w:r>
        <w:rPr>
          <w:rFonts w:hint="eastAsia" w:ascii="仿宋" w:hAnsi="仿宋" w:eastAsia="仿宋" w:cs="仿宋"/>
          <w:szCs w:val="21"/>
        </w:rPr>
        <w:fldChar w:fldCharType="separate"/>
      </w:r>
      <w:r>
        <w:rPr>
          <w:rFonts w:hint="eastAsia" w:ascii="仿宋" w:hAnsi="仿宋" w:eastAsia="仿宋" w:cs="仿宋"/>
        </w:rPr>
        <w:t>2、专任教师任职资格</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_Toc5226 </w:instrText>
      </w:r>
      <w:r>
        <w:rPr>
          <w:rFonts w:hint="eastAsia" w:ascii="仿宋" w:hAnsi="仿宋" w:eastAsia="仿宋" w:cs="仿宋"/>
        </w:rPr>
        <w:fldChar w:fldCharType="separate"/>
      </w:r>
      <w:r>
        <w:rPr>
          <w:rFonts w:hint="eastAsia" w:ascii="仿宋" w:hAnsi="仿宋" w:eastAsia="仿宋" w:cs="仿宋"/>
        </w:rPr>
        <w:t>14</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9"/>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_Toc25329 </w:instrText>
      </w:r>
      <w:r>
        <w:rPr>
          <w:rFonts w:hint="eastAsia" w:ascii="仿宋" w:hAnsi="仿宋" w:eastAsia="仿宋" w:cs="仿宋"/>
          <w:szCs w:val="21"/>
        </w:rPr>
        <w:fldChar w:fldCharType="separate"/>
      </w:r>
      <w:r>
        <w:rPr>
          <w:rFonts w:hint="eastAsia" w:ascii="仿宋" w:hAnsi="仿宋" w:eastAsia="仿宋" w:cs="仿宋"/>
        </w:rPr>
        <w:t>3、兼职教师任职资格</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_Toc25329 </w:instrText>
      </w:r>
      <w:r>
        <w:rPr>
          <w:rFonts w:hint="eastAsia" w:ascii="仿宋" w:hAnsi="仿宋" w:eastAsia="仿宋" w:cs="仿宋"/>
        </w:rPr>
        <w:fldChar w:fldCharType="separate"/>
      </w:r>
      <w:r>
        <w:rPr>
          <w:rFonts w:hint="eastAsia" w:ascii="仿宋" w:hAnsi="仿宋" w:eastAsia="仿宋" w:cs="仿宋"/>
        </w:rPr>
        <w:t>14</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4"/>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_Toc21815 </w:instrText>
      </w:r>
      <w:r>
        <w:rPr>
          <w:rFonts w:hint="eastAsia" w:ascii="仿宋" w:hAnsi="仿宋" w:eastAsia="仿宋" w:cs="仿宋"/>
          <w:szCs w:val="21"/>
        </w:rPr>
        <w:fldChar w:fldCharType="separate"/>
      </w:r>
      <w:r>
        <w:rPr>
          <w:rFonts w:hint="eastAsia" w:ascii="仿宋" w:hAnsi="仿宋" w:eastAsia="仿宋" w:cs="仿宋"/>
        </w:rPr>
        <w:t>（二）教学设施</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_Toc21815 </w:instrText>
      </w:r>
      <w:r>
        <w:rPr>
          <w:rFonts w:hint="eastAsia" w:ascii="仿宋" w:hAnsi="仿宋" w:eastAsia="仿宋" w:cs="仿宋"/>
        </w:rPr>
        <w:fldChar w:fldCharType="separate"/>
      </w:r>
      <w:r>
        <w:rPr>
          <w:rFonts w:hint="eastAsia" w:ascii="仿宋" w:hAnsi="仿宋" w:eastAsia="仿宋" w:cs="仿宋"/>
        </w:rPr>
        <w:t>14</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9"/>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_Toc4295 </w:instrText>
      </w:r>
      <w:r>
        <w:rPr>
          <w:rFonts w:hint="eastAsia" w:ascii="仿宋" w:hAnsi="仿宋" w:eastAsia="仿宋" w:cs="仿宋"/>
          <w:szCs w:val="21"/>
        </w:rPr>
        <w:fldChar w:fldCharType="separate"/>
      </w:r>
      <w:r>
        <w:rPr>
          <w:rFonts w:hint="eastAsia" w:ascii="仿宋" w:hAnsi="仿宋" w:eastAsia="仿宋" w:cs="仿宋"/>
          <w:lang w:val="en-US"/>
        </w:rPr>
        <w:t>1、</w:t>
      </w:r>
      <w:r>
        <w:rPr>
          <w:rFonts w:hint="eastAsia" w:ascii="仿宋" w:hAnsi="仿宋" w:eastAsia="仿宋" w:cs="仿宋"/>
        </w:rPr>
        <w:t>教室要求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_Toc4295 </w:instrText>
      </w:r>
      <w:r>
        <w:rPr>
          <w:rFonts w:hint="eastAsia" w:ascii="仿宋" w:hAnsi="仿宋" w:eastAsia="仿宋" w:cs="仿宋"/>
        </w:rPr>
        <w:fldChar w:fldCharType="separate"/>
      </w:r>
      <w:r>
        <w:rPr>
          <w:rFonts w:hint="eastAsia" w:ascii="仿宋" w:hAnsi="仿宋" w:eastAsia="仿宋" w:cs="仿宋"/>
        </w:rPr>
        <w:t>14</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9"/>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_Toc25378 </w:instrText>
      </w:r>
      <w:r>
        <w:rPr>
          <w:rFonts w:hint="eastAsia" w:ascii="仿宋" w:hAnsi="仿宋" w:eastAsia="仿宋" w:cs="仿宋"/>
          <w:szCs w:val="21"/>
        </w:rPr>
        <w:fldChar w:fldCharType="separate"/>
      </w:r>
      <w:r>
        <w:rPr>
          <w:rFonts w:hint="eastAsia" w:ascii="仿宋" w:hAnsi="仿宋" w:eastAsia="仿宋" w:cs="仿宋"/>
        </w:rPr>
        <w:t>2、 校内实训室</w:t>
      </w:r>
      <w:r>
        <w:rPr>
          <w:rFonts w:hint="eastAsia" w:ascii="仿宋" w:hAnsi="仿宋" w:eastAsia="仿宋" w:cs="仿宋"/>
          <w:lang w:val="en-US" w:eastAsia="zh-CN"/>
        </w:rPr>
        <w:t>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_Toc25378 </w:instrText>
      </w:r>
      <w:r>
        <w:rPr>
          <w:rFonts w:hint="eastAsia" w:ascii="仿宋" w:hAnsi="仿宋" w:eastAsia="仿宋" w:cs="仿宋"/>
        </w:rPr>
        <w:fldChar w:fldCharType="separate"/>
      </w:r>
      <w:r>
        <w:rPr>
          <w:rFonts w:hint="eastAsia" w:ascii="仿宋" w:hAnsi="仿宋" w:eastAsia="仿宋" w:cs="仿宋"/>
        </w:rPr>
        <w:t>14</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3"/>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_Toc26716 </w:instrText>
      </w:r>
      <w:r>
        <w:rPr>
          <w:rFonts w:hint="eastAsia" w:ascii="仿宋" w:hAnsi="仿宋" w:eastAsia="仿宋" w:cs="仿宋"/>
          <w:szCs w:val="21"/>
        </w:rPr>
        <w:fldChar w:fldCharType="separate"/>
      </w:r>
      <w:r>
        <w:rPr>
          <w:rFonts w:hint="eastAsia" w:ascii="仿宋" w:hAnsi="仿宋" w:eastAsia="仿宋" w:cs="仿宋"/>
          <w:lang w:val="en-US"/>
        </w:rPr>
        <w:t>表</w:t>
      </w:r>
      <w:r>
        <w:rPr>
          <w:rFonts w:hint="eastAsia" w:ascii="仿宋" w:hAnsi="仿宋" w:eastAsia="仿宋" w:cs="仿宋"/>
          <w:lang w:val="en-US" w:eastAsia="zh-CN"/>
        </w:rPr>
        <w:t>10</w:t>
      </w:r>
      <w:r>
        <w:rPr>
          <w:rFonts w:hint="eastAsia" w:ascii="仿宋" w:hAnsi="仿宋" w:eastAsia="仿宋" w:cs="仿宋"/>
          <w:lang w:val="en-US"/>
        </w:rPr>
        <w:t xml:space="preserve"> 校内</w:t>
      </w:r>
      <w:r>
        <w:rPr>
          <w:rFonts w:hint="eastAsia" w:ascii="仿宋" w:hAnsi="仿宋" w:eastAsia="仿宋" w:cs="仿宋"/>
          <w:lang w:val="en-US" w:eastAsia="zh-CN"/>
        </w:rPr>
        <w:t>应设</w:t>
      </w:r>
      <w:r>
        <w:rPr>
          <w:rFonts w:hint="eastAsia" w:ascii="仿宋" w:hAnsi="仿宋" w:eastAsia="仿宋" w:cs="仿宋"/>
          <w:lang w:val="en-US"/>
        </w:rPr>
        <w:t>实训室一览表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_Toc26716 </w:instrText>
      </w:r>
      <w:r>
        <w:rPr>
          <w:rFonts w:hint="eastAsia" w:ascii="仿宋" w:hAnsi="仿宋" w:eastAsia="仿宋" w:cs="仿宋"/>
        </w:rPr>
        <w:fldChar w:fldCharType="separate"/>
      </w:r>
      <w:r>
        <w:rPr>
          <w:rFonts w:hint="eastAsia" w:ascii="仿宋" w:hAnsi="仿宋" w:eastAsia="仿宋" w:cs="仿宋"/>
        </w:rPr>
        <w:t>14</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9"/>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_Toc380 </w:instrText>
      </w:r>
      <w:r>
        <w:rPr>
          <w:rFonts w:hint="eastAsia" w:ascii="仿宋" w:hAnsi="仿宋" w:eastAsia="仿宋" w:cs="仿宋"/>
          <w:szCs w:val="21"/>
        </w:rPr>
        <w:fldChar w:fldCharType="separate"/>
      </w:r>
      <w:r>
        <w:rPr>
          <w:rFonts w:hint="eastAsia" w:ascii="仿宋" w:hAnsi="仿宋" w:eastAsia="仿宋" w:cs="仿宋"/>
        </w:rPr>
        <w:t>2、校外</w:t>
      </w:r>
      <w:r>
        <w:rPr>
          <w:rFonts w:hint="eastAsia" w:ascii="仿宋" w:hAnsi="仿宋" w:eastAsia="仿宋" w:cs="仿宋"/>
          <w:lang w:val="en-US" w:eastAsia="zh-CN"/>
        </w:rPr>
        <w:t>实习</w:t>
      </w:r>
      <w:r>
        <w:rPr>
          <w:rFonts w:hint="eastAsia" w:ascii="仿宋" w:hAnsi="仿宋" w:eastAsia="仿宋" w:cs="仿宋"/>
        </w:rPr>
        <w:t>基地</w:t>
      </w:r>
      <w:r>
        <w:rPr>
          <w:rFonts w:hint="eastAsia" w:ascii="仿宋" w:hAnsi="仿宋" w:eastAsia="仿宋" w:cs="仿宋"/>
          <w:lang w:val="en-US" w:eastAsia="zh-CN"/>
        </w:rPr>
        <w:t>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_Toc380 </w:instrText>
      </w:r>
      <w:r>
        <w:rPr>
          <w:rFonts w:hint="eastAsia" w:ascii="仿宋" w:hAnsi="仿宋" w:eastAsia="仿宋" w:cs="仿宋"/>
        </w:rPr>
        <w:fldChar w:fldCharType="separate"/>
      </w:r>
      <w:r>
        <w:rPr>
          <w:rFonts w:hint="eastAsia" w:ascii="仿宋" w:hAnsi="仿宋" w:eastAsia="仿宋" w:cs="仿宋"/>
        </w:rPr>
        <w:t>15</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4"/>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_Toc8868 </w:instrText>
      </w:r>
      <w:r>
        <w:rPr>
          <w:rFonts w:hint="eastAsia" w:ascii="仿宋" w:hAnsi="仿宋" w:eastAsia="仿宋" w:cs="仿宋"/>
          <w:szCs w:val="21"/>
        </w:rPr>
        <w:fldChar w:fldCharType="separate"/>
      </w:r>
      <w:r>
        <w:rPr>
          <w:rFonts w:hint="eastAsia" w:ascii="仿宋" w:hAnsi="仿宋" w:eastAsia="仿宋" w:cs="仿宋"/>
          <w:kern w:val="2"/>
          <w:szCs w:val="28"/>
          <w:lang w:val="zh-CN" w:eastAsia="zh-CN" w:bidi="zh-CN"/>
        </w:rPr>
        <w:t>（</w:t>
      </w:r>
      <w:r>
        <w:rPr>
          <w:rFonts w:hint="eastAsia" w:ascii="仿宋" w:hAnsi="仿宋" w:eastAsia="仿宋" w:cs="仿宋"/>
          <w:kern w:val="2"/>
          <w:szCs w:val="28"/>
          <w:lang w:val="en-US" w:eastAsia="zh-CN" w:bidi="zh-CN"/>
        </w:rPr>
        <w:t>4</w:t>
      </w:r>
      <w:r>
        <w:rPr>
          <w:rFonts w:hint="eastAsia" w:ascii="仿宋" w:hAnsi="仿宋" w:eastAsia="仿宋" w:cs="仿宋"/>
          <w:kern w:val="2"/>
          <w:szCs w:val="28"/>
          <w:lang w:val="zh-CN" w:eastAsia="zh-CN" w:bidi="zh-CN"/>
        </w:rPr>
        <w:t>）校外教学实习基地原则上应就地就近，保持相对稳定。</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_Toc8868 </w:instrText>
      </w:r>
      <w:r>
        <w:rPr>
          <w:rFonts w:hint="eastAsia" w:ascii="仿宋" w:hAnsi="仿宋" w:eastAsia="仿宋" w:cs="仿宋"/>
        </w:rPr>
        <w:fldChar w:fldCharType="separate"/>
      </w:r>
      <w:r>
        <w:rPr>
          <w:rFonts w:hint="eastAsia" w:ascii="仿宋" w:hAnsi="仿宋" w:eastAsia="仿宋" w:cs="仿宋"/>
        </w:rPr>
        <w:t>16</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4"/>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_Toc1219 </w:instrText>
      </w:r>
      <w:r>
        <w:rPr>
          <w:rFonts w:hint="eastAsia" w:ascii="仿宋" w:hAnsi="仿宋" w:eastAsia="仿宋" w:cs="仿宋"/>
          <w:szCs w:val="21"/>
        </w:rPr>
        <w:fldChar w:fldCharType="separate"/>
      </w:r>
      <w:r>
        <w:rPr>
          <w:rFonts w:hint="eastAsia" w:ascii="仿宋" w:hAnsi="仿宋" w:eastAsia="仿宋" w:cs="仿宋"/>
        </w:rPr>
        <w:t>（三）教学资源</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_Toc1219 </w:instrText>
      </w:r>
      <w:r>
        <w:rPr>
          <w:rFonts w:hint="eastAsia" w:ascii="仿宋" w:hAnsi="仿宋" w:eastAsia="仿宋" w:cs="仿宋"/>
        </w:rPr>
        <w:fldChar w:fldCharType="separate"/>
      </w:r>
      <w:r>
        <w:rPr>
          <w:rFonts w:hint="eastAsia" w:ascii="仿宋" w:hAnsi="仿宋" w:eastAsia="仿宋" w:cs="仿宋"/>
        </w:rPr>
        <w:t>16</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9"/>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_Toc11287 </w:instrText>
      </w:r>
      <w:r>
        <w:rPr>
          <w:rFonts w:hint="eastAsia" w:ascii="仿宋" w:hAnsi="仿宋" w:eastAsia="仿宋" w:cs="仿宋"/>
          <w:szCs w:val="21"/>
        </w:rPr>
        <w:fldChar w:fldCharType="separate"/>
      </w:r>
      <w:r>
        <w:rPr>
          <w:rFonts w:hint="eastAsia" w:ascii="仿宋" w:hAnsi="仿宋" w:eastAsia="仿宋" w:cs="仿宋"/>
        </w:rPr>
        <w:t>1、教材选用基本要求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_Toc11287 </w:instrText>
      </w:r>
      <w:r>
        <w:rPr>
          <w:rFonts w:hint="eastAsia" w:ascii="仿宋" w:hAnsi="仿宋" w:eastAsia="仿宋" w:cs="仿宋"/>
        </w:rPr>
        <w:fldChar w:fldCharType="separate"/>
      </w:r>
      <w:r>
        <w:rPr>
          <w:rFonts w:hint="eastAsia" w:ascii="仿宋" w:hAnsi="仿宋" w:eastAsia="仿宋" w:cs="仿宋"/>
        </w:rPr>
        <w:t>16</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9"/>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_Toc12726 </w:instrText>
      </w:r>
      <w:r>
        <w:rPr>
          <w:rFonts w:hint="eastAsia" w:ascii="仿宋" w:hAnsi="仿宋" w:eastAsia="仿宋" w:cs="仿宋"/>
          <w:szCs w:val="21"/>
        </w:rPr>
        <w:fldChar w:fldCharType="separate"/>
      </w:r>
      <w:r>
        <w:rPr>
          <w:rFonts w:hint="eastAsia" w:ascii="仿宋" w:hAnsi="仿宋" w:eastAsia="仿宋" w:cs="仿宋"/>
        </w:rPr>
        <w:t>2、图书文献配备基本要求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_Toc12726 </w:instrText>
      </w:r>
      <w:r>
        <w:rPr>
          <w:rFonts w:hint="eastAsia" w:ascii="仿宋" w:hAnsi="仿宋" w:eastAsia="仿宋" w:cs="仿宋"/>
        </w:rPr>
        <w:fldChar w:fldCharType="separate"/>
      </w:r>
      <w:r>
        <w:rPr>
          <w:rFonts w:hint="eastAsia" w:ascii="仿宋" w:hAnsi="仿宋" w:eastAsia="仿宋" w:cs="仿宋"/>
        </w:rPr>
        <w:t>16</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9"/>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_Toc16374 </w:instrText>
      </w:r>
      <w:r>
        <w:rPr>
          <w:rFonts w:hint="eastAsia" w:ascii="仿宋" w:hAnsi="仿宋" w:eastAsia="仿宋" w:cs="仿宋"/>
          <w:szCs w:val="21"/>
        </w:rPr>
        <w:fldChar w:fldCharType="separate"/>
      </w:r>
      <w:r>
        <w:rPr>
          <w:rFonts w:hint="eastAsia" w:ascii="仿宋" w:hAnsi="仿宋" w:eastAsia="仿宋" w:cs="仿宋"/>
        </w:rPr>
        <w:t>3、数字教学资源配置基本要求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_Toc16374 </w:instrText>
      </w:r>
      <w:r>
        <w:rPr>
          <w:rFonts w:hint="eastAsia" w:ascii="仿宋" w:hAnsi="仿宋" w:eastAsia="仿宋" w:cs="仿宋"/>
        </w:rPr>
        <w:fldChar w:fldCharType="separate"/>
      </w:r>
      <w:r>
        <w:rPr>
          <w:rFonts w:hint="eastAsia" w:ascii="仿宋" w:hAnsi="仿宋" w:eastAsia="仿宋" w:cs="仿宋"/>
        </w:rPr>
        <w:t>16</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4"/>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_Toc16910 </w:instrText>
      </w:r>
      <w:r>
        <w:rPr>
          <w:rFonts w:hint="eastAsia" w:ascii="仿宋" w:hAnsi="仿宋" w:eastAsia="仿宋" w:cs="仿宋"/>
          <w:szCs w:val="21"/>
        </w:rPr>
        <w:fldChar w:fldCharType="separate"/>
      </w:r>
      <w:r>
        <w:rPr>
          <w:rFonts w:hint="eastAsia" w:ascii="仿宋" w:hAnsi="仿宋" w:eastAsia="仿宋" w:cs="仿宋"/>
        </w:rPr>
        <w:t>（四）教学方法</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_Toc16910 </w:instrText>
      </w:r>
      <w:r>
        <w:rPr>
          <w:rFonts w:hint="eastAsia" w:ascii="仿宋" w:hAnsi="仿宋" w:eastAsia="仿宋" w:cs="仿宋"/>
        </w:rPr>
        <w:fldChar w:fldCharType="separate"/>
      </w:r>
      <w:r>
        <w:rPr>
          <w:rFonts w:hint="eastAsia" w:ascii="仿宋" w:hAnsi="仿宋" w:eastAsia="仿宋" w:cs="仿宋"/>
        </w:rPr>
        <w:t>16</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4"/>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_Toc22187 </w:instrText>
      </w:r>
      <w:r>
        <w:rPr>
          <w:rFonts w:hint="eastAsia" w:ascii="仿宋" w:hAnsi="仿宋" w:eastAsia="仿宋" w:cs="仿宋"/>
          <w:szCs w:val="21"/>
        </w:rPr>
        <w:fldChar w:fldCharType="separate"/>
      </w:r>
      <w:r>
        <w:rPr>
          <w:rFonts w:hint="eastAsia" w:ascii="仿宋" w:hAnsi="仿宋" w:eastAsia="仿宋" w:cs="仿宋"/>
        </w:rPr>
        <w:t>（五）学习评价</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_Toc22187 </w:instrText>
      </w:r>
      <w:r>
        <w:rPr>
          <w:rFonts w:hint="eastAsia" w:ascii="仿宋" w:hAnsi="仿宋" w:eastAsia="仿宋" w:cs="仿宋"/>
        </w:rPr>
        <w:fldChar w:fldCharType="separate"/>
      </w:r>
      <w:r>
        <w:rPr>
          <w:rFonts w:hint="eastAsia" w:ascii="仿宋" w:hAnsi="仿宋" w:eastAsia="仿宋" w:cs="仿宋"/>
        </w:rPr>
        <w:t>16</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4"/>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_Toc9177 </w:instrText>
      </w:r>
      <w:r>
        <w:rPr>
          <w:rFonts w:hint="eastAsia" w:ascii="仿宋" w:hAnsi="仿宋" w:eastAsia="仿宋" w:cs="仿宋"/>
          <w:szCs w:val="21"/>
        </w:rPr>
        <w:fldChar w:fldCharType="separate"/>
      </w:r>
      <w:r>
        <w:rPr>
          <w:rFonts w:hint="eastAsia" w:ascii="仿宋" w:hAnsi="仿宋" w:eastAsia="仿宋" w:cs="仿宋"/>
        </w:rPr>
        <w:t>（六）质量管理</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_Toc9177 </w:instrText>
      </w:r>
      <w:r>
        <w:rPr>
          <w:rFonts w:hint="eastAsia" w:ascii="仿宋" w:hAnsi="仿宋" w:eastAsia="仿宋" w:cs="仿宋"/>
        </w:rPr>
        <w:fldChar w:fldCharType="separate"/>
      </w:r>
      <w:r>
        <w:rPr>
          <w:rFonts w:hint="eastAsia" w:ascii="仿宋" w:hAnsi="仿宋" w:eastAsia="仿宋" w:cs="仿宋"/>
        </w:rPr>
        <w:t>16</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2"/>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_Toc18477 </w:instrText>
      </w:r>
      <w:r>
        <w:rPr>
          <w:rFonts w:hint="eastAsia" w:ascii="仿宋" w:hAnsi="仿宋" w:eastAsia="仿宋" w:cs="仿宋"/>
          <w:szCs w:val="21"/>
        </w:rPr>
        <w:fldChar w:fldCharType="separate"/>
      </w:r>
      <w:r>
        <w:rPr>
          <w:rFonts w:hint="eastAsia" w:ascii="仿宋" w:hAnsi="仿宋" w:eastAsia="仿宋" w:cs="仿宋"/>
        </w:rPr>
        <w:t>十、 毕业要求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_Toc18477 </w:instrText>
      </w:r>
      <w:r>
        <w:rPr>
          <w:rFonts w:hint="eastAsia" w:ascii="仿宋" w:hAnsi="仿宋" w:eastAsia="仿宋" w:cs="仿宋"/>
        </w:rPr>
        <w:fldChar w:fldCharType="separate"/>
      </w:r>
      <w:r>
        <w:rPr>
          <w:rFonts w:hint="eastAsia" w:ascii="仿宋" w:hAnsi="仿宋" w:eastAsia="仿宋" w:cs="仿宋"/>
        </w:rPr>
        <w:t>18</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3"/>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_Toc28874 </w:instrText>
      </w:r>
      <w:r>
        <w:rPr>
          <w:rFonts w:hint="eastAsia" w:ascii="仿宋" w:hAnsi="仿宋" w:eastAsia="仿宋" w:cs="仿宋"/>
          <w:szCs w:val="21"/>
        </w:rPr>
        <w:fldChar w:fldCharType="separate"/>
      </w:r>
      <w:r>
        <w:rPr>
          <w:rFonts w:hint="eastAsia" w:ascii="仿宋" w:hAnsi="仿宋" w:eastAsia="仿宋" w:cs="仿宋"/>
          <w:lang w:val="en-US"/>
        </w:rPr>
        <w:t>表1</w:t>
      </w:r>
      <w:r>
        <w:rPr>
          <w:rFonts w:hint="eastAsia" w:ascii="仿宋" w:hAnsi="仿宋" w:eastAsia="仿宋" w:cs="仿宋"/>
          <w:lang w:val="en-US" w:eastAsia="zh-CN"/>
        </w:rPr>
        <w:t>1</w:t>
      </w:r>
      <w:r>
        <w:rPr>
          <w:rFonts w:hint="eastAsia" w:ascii="仿宋" w:hAnsi="仿宋" w:eastAsia="仿宋" w:cs="仿宋"/>
          <w:lang w:val="en-US"/>
        </w:rPr>
        <w:t xml:space="preserve"> </w:t>
      </w:r>
      <w:r>
        <w:rPr>
          <w:rFonts w:hint="eastAsia" w:ascii="仿宋" w:hAnsi="仿宋" w:eastAsia="仿宋" w:cs="仿宋"/>
          <w:lang w:val="en-US" w:eastAsia="zh-CN"/>
        </w:rPr>
        <w:t>毕业</w:t>
      </w:r>
      <w:r>
        <w:rPr>
          <w:rFonts w:hint="eastAsia" w:ascii="仿宋" w:hAnsi="仿宋" w:eastAsia="仿宋" w:cs="仿宋"/>
        </w:rPr>
        <w:t>应修学分</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_Toc28874 </w:instrText>
      </w:r>
      <w:r>
        <w:rPr>
          <w:rFonts w:hint="eastAsia" w:ascii="仿宋" w:hAnsi="仿宋" w:eastAsia="仿宋" w:cs="仿宋"/>
        </w:rPr>
        <w:fldChar w:fldCharType="separate"/>
      </w:r>
      <w:r>
        <w:rPr>
          <w:rFonts w:hint="eastAsia" w:ascii="仿宋" w:hAnsi="仿宋" w:eastAsia="仿宋" w:cs="仿宋"/>
        </w:rPr>
        <w:t>18</w:t>
      </w:r>
      <w:r>
        <w:rPr>
          <w:rFonts w:hint="eastAsia" w:ascii="仿宋" w:hAnsi="仿宋" w:eastAsia="仿宋" w:cs="仿宋"/>
        </w:rPr>
        <w:fldChar w:fldCharType="end"/>
      </w:r>
      <w:r>
        <w:rPr>
          <w:rFonts w:hint="eastAsia" w:ascii="仿宋" w:hAnsi="仿宋" w:eastAsia="仿宋" w:cs="仿宋"/>
          <w:color w:val="auto"/>
          <w:szCs w:val="21"/>
        </w:rPr>
        <w:fldChar w:fldCharType="end"/>
      </w:r>
    </w:p>
    <w:p>
      <w:pPr>
        <w:pStyle w:val="13"/>
        <w:keepNext w:val="0"/>
        <w:keepLines w:val="0"/>
        <w:pageBreakBefore w:val="0"/>
        <w:widowControl w:val="0"/>
        <w:tabs>
          <w:tab w:val="right" w:leader="dot" w:pos="8311"/>
        </w:tabs>
        <w:kinsoku/>
        <w:wordWrap/>
        <w:overflowPunct/>
        <w:topLinePunct w:val="0"/>
        <w:autoSpaceDE/>
        <w:autoSpaceDN/>
        <w:bidi w:val="0"/>
        <w:adjustRightInd/>
        <w:snapToGrid/>
        <w:spacing w:line="240" w:lineRule="exact"/>
        <w:textAlignment w:val="auto"/>
        <w:rPr>
          <w:rFonts w:hint="eastAsia" w:ascii="仿宋" w:hAnsi="仿宋" w:eastAsia="仿宋" w:cs="仿宋"/>
          <w:color w:val="auto"/>
        </w:rPr>
      </w:pPr>
      <w:r>
        <w:rPr>
          <w:rFonts w:hint="eastAsia" w:ascii="仿宋" w:hAnsi="仿宋" w:eastAsia="仿宋" w:cs="仿宋"/>
          <w:color w:val="auto"/>
          <w:szCs w:val="21"/>
        </w:rPr>
        <w:fldChar w:fldCharType="begin"/>
      </w:r>
      <w:r>
        <w:rPr>
          <w:rFonts w:hint="eastAsia" w:ascii="仿宋" w:hAnsi="仿宋" w:eastAsia="仿宋" w:cs="仿宋"/>
          <w:szCs w:val="21"/>
        </w:rPr>
        <w:instrText xml:space="preserve"> HYPERLINK \l _Toc19093 </w:instrText>
      </w:r>
      <w:r>
        <w:rPr>
          <w:rFonts w:hint="eastAsia" w:ascii="仿宋" w:hAnsi="仿宋" w:eastAsia="仿宋" w:cs="仿宋"/>
          <w:szCs w:val="21"/>
        </w:rPr>
        <w:fldChar w:fldCharType="separate"/>
      </w:r>
      <w:r>
        <w:rPr>
          <w:rFonts w:hint="eastAsia" w:ascii="仿宋" w:hAnsi="仿宋" w:eastAsia="仿宋" w:cs="仿宋"/>
        </w:rPr>
        <w:t>表</w:t>
      </w:r>
      <w:r>
        <w:rPr>
          <w:rFonts w:hint="eastAsia" w:ascii="仿宋" w:hAnsi="仿宋" w:eastAsia="仿宋" w:cs="仿宋"/>
          <w:lang w:val="en-US"/>
        </w:rPr>
        <w:t>1</w:t>
      </w:r>
      <w:r>
        <w:rPr>
          <w:rFonts w:hint="eastAsia" w:ascii="仿宋" w:hAnsi="仿宋" w:eastAsia="仿宋" w:cs="仿宋"/>
          <w:lang w:val="en-US" w:eastAsia="zh-CN"/>
        </w:rPr>
        <w:t>2</w:t>
      </w:r>
      <w:r>
        <w:rPr>
          <w:rFonts w:hint="eastAsia" w:ascii="仿宋" w:hAnsi="仿宋" w:eastAsia="仿宋" w:cs="仿宋"/>
        </w:rPr>
        <w:t xml:space="preserve"> </w:t>
      </w:r>
      <w:r>
        <w:rPr>
          <w:rFonts w:hint="eastAsia" w:ascii="仿宋" w:hAnsi="仿宋" w:eastAsia="仿宋" w:cs="仿宋"/>
          <w:lang w:eastAsia="zh-CN"/>
        </w:rPr>
        <w:t>智慧健康养老服务与管理专业</w:t>
      </w:r>
      <w:r>
        <w:rPr>
          <w:rFonts w:hint="eastAsia" w:ascii="仿宋" w:hAnsi="仿宋" w:eastAsia="仿宋" w:cs="仿宋"/>
          <w:lang w:val="en-US"/>
        </w:rPr>
        <w:t>“1+X”证书</w:t>
      </w:r>
      <w:r>
        <w:rPr>
          <w:rFonts w:hint="eastAsia" w:ascii="仿宋" w:hAnsi="仿宋" w:eastAsia="仿宋" w:cs="仿宋"/>
        </w:rPr>
        <w:t>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_Toc19093 </w:instrText>
      </w:r>
      <w:r>
        <w:rPr>
          <w:rFonts w:hint="eastAsia" w:ascii="仿宋" w:hAnsi="仿宋" w:eastAsia="仿宋" w:cs="仿宋"/>
        </w:rPr>
        <w:fldChar w:fldCharType="separate"/>
      </w:r>
      <w:r>
        <w:rPr>
          <w:rFonts w:hint="eastAsia" w:ascii="仿宋" w:hAnsi="仿宋" w:eastAsia="仿宋" w:cs="仿宋"/>
        </w:rPr>
        <w:t>18</w:t>
      </w:r>
      <w:r>
        <w:rPr>
          <w:rFonts w:hint="eastAsia" w:ascii="仿宋" w:hAnsi="仿宋" w:eastAsia="仿宋" w:cs="仿宋"/>
        </w:rPr>
        <w:fldChar w:fldCharType="end"/>
      </w:r>
      <w:r>
        <w:rPr>
          <w:rFonts w:hint="eastAsia" w:ascii="仿宋" w:hAnsi="仿宋" w:eastAsia="仿宋" w:cs="仿宋"/>
          <w:color w:val="auto"/>
          <w:szCs w:val="21"/>
        </w:rPr>
        <w:fldChar w:fldCharType="end"/>
      </w:r>
      <w:r>
        <w:rPr>
          <w:rFonts w:hint="eastAsia" w:ascii="仿宋" w:hAnsi="仿宋" w:eastAsia="仿宋" w:cs="仿宋"/>
          <w:color w:val="auto"/>
          <w:szCs w:val="21"/>
        </w:rPr>
        <w:fldChar w:fldCharType="end"/>
      </w:r>
    </w:p>
    <w:p>
      <w:pPr>
        <w:pStyle w:val="4"/>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rPr>
        <w:sectPr>
          <w:headerReference r:id="rId5" w:type="default"/>
          <w:footerReference r:id="rId6" w:type="default"/>
          <w:pgSz w:w="11911" w:h="16838"/>
          <w:pgMar w:top="1440" w:right="1800" w:bottom="1440" w:left="1800" w:header="0" w:footer="658" w:gutter="0"/>
          <w:pgNumType w:fmt="decimal" w:start="1"/>
          <w:cols w:space="425" w:num="1"/>
        </w:sectPr>
      </w:pPr>
    </w:p>
    <w:p>
      <w:pPr>
        <w:pStyle w:val="4"/>
        <w:bidi w:val="0"/>
        <w:rPr>
          <w:rFonts w:hint="eastAsia"/>
          <w:color w:val="auto"/>
        </w:rPr>
        <w:sectPr>
          <w:footerReference r:id="rId7" w:type="default"/>
          <w:type w:val="continuous"/>
          <w:pgSz w:w="11911" w:h="16838"/>
          <w:pgMar w:top="1502" w:right="941" w:bottom="918" w:left="958" w:header="0" w:footer="658" w:gutter="0"/>
          <w:pgNumType w:fmt="decimal"/>
          <w:cols w:space="425" w:num="1"/>
        </w:sectPr>
      </w:pPr>
      <w:bookmarkStart w:id="1" w:name="_Toc8975"/>
    </w:p>
    <w:p>
      <w:pPr>
        <w:pStyle w:val="4"/>
        <w:bidi w:val="0"/>
        <w:rPr>
          <w:color w:val="auto"/>
        </w:rPr>
      </w:pPr>
      <w:r>
        <w:rPr>
          <w:color w:val="auto"/>
          <w:sz w:val="32"/>
        </w:rPr>
        <mc:AlternateContent>
          <mc:Choice Requires="wps">
            <w:drawing>
              <wp:anchor distT="0" distB="0" distL="114300" distR="114300" simplePos="0" relativeHeight="251664384" behindDoc="0" locked="0" layoutInCell="1" allowOverlap="1">
                <wp:simplePos x="0" y="0"/>
                <wp:positionH relativeFrom="column">
                  <wp:posOffset>518795</wp:posOffset>
                </wp:positionH>
                <wp:positionV relativeFrom="paragraph">
                  <wp:posOffset>-488950</wp:posOffset>
                </wp:positionV>
                <wp:extent cx="4532630" cy="349885"/>
                <wp:effectExtent l="0" t="0" r="1270" b="12065"/>
                <wp:wrapNone/>
                <wp:docPr id="43" name="文本框 43"/>
                <wp:cNvGraphicFramePr/>
                <a:graphic xmlns:a="http://schemas.openxmlformats.org/drawingml/2006/main">
                  <a:graphicData uri="http://schemas.microsoft.com/office/word/2010/wordprocessingShape">
                    <wps:wsp>
                      <wps:cNvSpPr txBox="1"/>
                      <wps:spPr>
                        <a:xfrm>
                          <a:off x="1524000" y="218440"/>
                          <a:ext cx="4532630" cy="34988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黑体" w:hAnsi="黑体" w:eastAsia="黑体" w:cs="黑体"/>
                                <w:sz w:val="36"/>
                                <w:szCs w:val="36"/>
                              </w:rPr>
                            </w:pPr>
                            <w:r>
                              <w:rPr>
                                <w:rFonts w:hint="eastAsia" w:ascii="黑体" w:hAnsi="黑体" w:eastAsia="黑体" w:cs="黑体"/>
                                <w:sz w:val="36"/>
                                <w:szCs w:val="36"/>
                                <w:lang w:val="en-US" w:eastAsia="zh-CN"/>
                              </w:rPr>
                              <w:t>智慧健康养老服务与管理</w:t>
                            </w:r>
                            <w:r>
                              <w:rPr>
                                <w:rFonts w:hint="eastAsia" w:ascii="黑体" w:hAnsi="黑体" w:eastAsia="黑体" w:cs="黑体"/>
                                <w:sz w:val="36"/>
                                <w:szCs w:val="36"/>
                              </w:rPr>
                              <w:t>专业人才培养方案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0.85pt;margin-top:-38.5pt;height:27.55pt;width:356.9pt;z-index:251664384;mso-width-relative:page;mso-height-relative:page;" fillcolor="#FFFFFF [3201]" filled="t" stroked="f" coordsize="21600,21600" o:gfxdata="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VuIZJdYA&#10;AAAKAQAADwAAAAAAAAABACAAAAAiAAAAZHJzL2Rvd25yZXYueG1sUEsBAhQAFAAAAAgAh07iQOnR&#10;+IBaAgAAnAQAAA4AAAAAAAAAAQAgAAAAJQEAAGRycy9lMm9Eb2MueG1sUEsFBgAAAAAGAAYAWQEA&#10;APEFAAAAAA==&#10;">
                <v:fill on="t" focussize="0,0"/>
                <v:stroke on="f" weight="0.5pt"/>
                <v:imagedata o:title=""/>
                <o:lock v:ext="edit" aspectratio="f"/>
                <v:textbox>
                  <w:txbxContent>
                    <w:p>
                      <w:pPr>
                        <w:rPr>
                          <w:rFonts w:hint="eastAsia" w:ascii="黑体" w:hAnsi="黑体" w:eastAsia="黑体" w:cs="黑体"/>
                          <w:sz w:val="36"/>
                          <w:szCs w:val="36"/>
                        </w:rPr>
                      </w:pPr>
                      <w:r>
                        <w:rPr>
                          <w:rFonts w:hint="eastAsia" w:ascii="黑体" w:hAnsi="黑体" w:eastAsia="黑体" w:cs="黑体"/>
                          <w:sz w:val="36"/>
                          <w:szCs w:val="36"/>
                          <w:lang w:val="en-US" w:eastAsia="zh-CN"/>
                        </w:rPr>
                        <w:t>智慧健康养老服务与管理</w:t>
                      </w:r>
                      <w:r>
                        <w:rPr>
                          <w:rFonts w:hint="eastAsia" w:ascii="黑体" w:hAnsi="黑体" w:eastAsia="黑体" w:cs="黑体"/>
                          <w:sz w:val="36"/>
                          <w:szCs w:val="36"/>
                        </w:rPr>
                        <w:t>专业人才培养方案</w:t>
                      </w:r>
                    </w:p>
                  </w:txbxContent>
                </v:textbox>
              </v:shape>
            </w:pict>
          </mc:Fallback>
        </mc:AlternateContent>
      </w:r>
      <w:r>
        <w:rPr>
          <w:rFonts w:hint="eastAsia"/>
          <w:color w:val="auto"/>
        </w:rPr>
        <w:t>一、专业名称及代码</w:t>
      </w:r>
      <w:bookmarkEnd w:id="0"/>
      <w:bookmarkEnd w:id="1"/>
    </w:p>
    <w:p>
      <w:pPr>
        <w:bidi w:val="0"/>
        <w:ind w:firstLine="420" w:firstLineChars="200"/>
        <w:rPr>
          <w:rFonts w:hint="eastAsia"/>
          <w:lang w:eastAsia="zh-CN"/>
        </w:rPr>
      </w:pPr>
      <w:r>
        <w:rPr>
          <w:rFonts w:hint="eastAsia"/>
        </w:rPr>
        <w:t>专业名称：</w:t>
      </w:r>
      <w:r>
        <w:rPr>
          <w:rFonts w:hint="eastAsia"/>
          <w:lang w:eastAsia="zh-CN"/>
        </w:rPr>
        <w:t>智慧健康养老服务与管理专业</w:t>
      </w:r>
    </w:p>
    <w:p>
      <w:pPr>
        <w:bidi w:val="0"/>
        <w:ind w:firstLine="420" w:firstLineChars="200"/>
      </w:pPr>
      <w:r>
        <w:rPr>
          <w:rFonts w:hint="eastAsia"/>
        </w:rPr>
        <w:t>专业代码：</w:t>
      </w:r>
      <w:r>
        <w:rPr>
          <w:rFonts w:hint="eastAsia"/>
          <w:lang w:val="en-US" w:eastAsia="zh-CN"/>
        </w:rPr>
        <w:t>5</w:t>
      </w:r>
      <w:r>
        <w:rPr>
          <w:rFonts w:hint="eastAsia"/>
        </w:rPr>
        <w:t>90302</w:t>
      </w:r>
    </w:p>
    <w:p>
      <w:pPr>
        <w:pStyle w:val="4"/>
        <w:bidi w:val="0"/>
        <w:rPr>
          <w:color w:val="auto"/>
          <w:lang w:val="zh-CN"/>
        </w:rPr>
      </w:pPr>
      <w:bookmarkStart w:id="2" w:name="_Toc24417"/>
      <w:bookmarkStart w:id="3" w:name="_Toc25819"/>
      <w:r>
        <w:rPr>
          <w:rFonts w:hint="eastAsia"/>
          <w:color w:val="auto"/>
        </w:rPr>
        <w:t>二、入学要求</w:t>
      </w:r>
      <w:bookmarkEnd w:id="2"/>
      <w:bookmarkEnd w:id="3"/>
    </w:p>
    <w:p>
      <w:pPr>
        <w:bidi w:val="0"/>
        <w:ind w:firstLine="420" w:firstLineChars="200"/>
      </w:pPr>
      <w:r>
        <w:rPr>
          <w:rFonts w:hint="eastAsia"/>
          <w:lang w:val="en-US"/>
        </w:rPr>
        <w:t>高中阶段教育毕业生或同等学力人员</w:t>
      </w:r>
    </w:p>
    <w:p>
      <w:pPr>
        <w:pStyle w:val="4"/>
        <w:numPr>
          <w:ilvl w:val="0"/>
          <w:numId w:val="1"/>
        </w:numPr>
        <w:bidi w:val="0"/>
        <w:rPr>
          <w:rFonts w:hint="eastAsia"/>
          <w:color w:val="auto"/>
        </w:rPr>
      </w:pPr>
      <w:bookmarkStart w:id="4" w:name="_Toc190"/>
      <w:bookmarkStart w:id="5" w:name="_Toc18802"/>
      <w:r>
        <w:rPr>
          <w:rFonts w:hint="eastAsia"/>
          <w:color w:val="auto"/>
        </w:rPr>
        <w:t>修业年限</w:t>
      </w:r>
      <w:bookmarkEnd w:id="4"/>
      <w:bookmarkEnd w:id="5"/>
    </w:p>
    <w:p>
      <w:pPr>
        <w:bidi w:val="0"/>
        <w:ind w:firstLine="420" w:firstLineChars="200"/>
      </w:pPr>
      <w:r>
        <w:rPr>
          <w:rFonts w:hint="eastAsia"/>
        </w:rPr>
        <w:t>学历层次：专科</w:t>
      </w:r>
    </w:p>
    <w:p>
      <w:pPr>
        <w:bidi w:val="0"/>
        <w:ind w:firstLine="420" w:firstLineChars="200"/>
      </w:pPr>
      <w:r>
        <w:rPr>
          <w:rFonts w:hint="eastAsia"/>
        </w:rPr>
        <w:t>修业年限：全日制三年</w:t>
      </w:r>
    </w:p>
    <w:p>
      <w:pPr>
        <w:pStyle w:val="4"/>
        <w:bidi w:val="0"/>
        <w:rPr>
          <w:color w:val="auto"/>
        </w:rPr>
      </w:pPr>
      <w:bookmarkStart w:id="6" w:name="_Toc29863"/>
      <w:bookmarkStart w:id="7" w:name="_Toc7644"/>
      <w:r>
        <w:rPr>
          <w:rFonts w:hint="eastAsia"/>
          <w:color w:val="auto"/>
        </w:rPr>
        <w:t>四、职业面向</w:t>
      </w:r>
      <w:bookmarkEnd w:id="6"/>
      <w:bookmarkEnd w:id="7"/>
    </w:p>
    <w:p>
      <w:pPr>
        <w:pStyle w:val="5"/>
        <w:bidi w:val="0"/>
        <w:rPr>
          <w:rFonts w:hint="default"/>
          <w:color w:val="auto"/>
          <w:lang w:val="en-US" w:eastAsia="zh-CN"/>
        </w:rPr>
      </w:pPr>
      <w:bookmarkStart w:id="8" w:name="_Toc30287"/>
      <w:bookmarkStart w:id="9" w:name="_Toc27210"/>
      <w:r>
        <w:rPr>
          <w:rFonts w:hint="eastAsia"/>
          <w:color w:val="auto"/>
          <w:lang w:val="en-US" w:eastAsia="zh-CN"/>
        </w:rPr>
        <w:t>（一）服务面向</w:t>
      </w:r>
      <w:bookmarkEnd w:id="8"/>
      <w:bookmarkEnd w:id="9"/>
    </w:p>
    <w:p>
      <w:pPr>
        <w:pStyle w:val="7"/>
        <w:bidi w:val="0"/>
        <w:rPr>
          <w:color w:val="auto"/>
        </w:rPr>
      </w:pPr>
      <w:bookmarkStart w:id="10" w:name="_Toc830"/>
      <w:r>
        <w:rPr>
          <w:rFonts w:hint="eastAsia"/>
          <w:color w:val="auto"/>
          <w:lang w:val="en-US"/>
        </w:rPr>
        <w:t xml:space="preserve">表1 </w:t>
      </w:r>
      <w:r>
        <w:rPr>
          <w:rFonts w:hint="eastAsia"/>
          <w:color w:val="auto"/>
          <w:lang w:eastAsia="zh-CN"/>
        </w:rPr>
        <w:t>智慧健康养老服务与管理专业</w:t>
      </w:r>
      <w:r>
        <w:rPr>
          <w:rFonts w:hint="eastAsia"/>
          <w:color w:val="auto"/>
          <w:lang w:val="en-US"/>
        </w:rPr>
        <w:t>服务面向</w:t>
      </w:r>
      <w:r>
        <w:rPr>
          <w:rFonts w:hint="eastAsia"/>
          <w:color w:val="auto"/>
        </w:rPr>
        <w:t>表</w:t>
      </w:r>
      <w:bookmarkEnd w:id="10"/>
    </w:p>
    <w:tbl>
      <w:tblPr>
        <w:tblStyle w:val="17"/>
        <w:tblpPr w:leftFromText="180" w:rightFromText="180" w:vertAnchor="text" w:tblpXSpec="center" w:tblpY="1"/>
        <w:tblOverlap w:val="never"/>
        <w:tblW w:w="11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700"/>
        <w:gridCol w:w="1500"/>
        <w:gridCol w:w="1863"/>
        <w:gridCol w:w="3073"/>
        <w:gridCol w:w="3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6"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所属专业大类</w:t>
            </w:r>
          </w:p>
        </w:tc>
        <w:tc>
          <w:tcPr>
            <w:tcW w:w="700"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所属专业</w:t>
            </w:r>
          </w:p>
        </w:tc>
        <w:tc>
          <w:tcPr>
            <w:tcW w:w="1500"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对应行业</w:t>
            </w:r>
          </w:p>
        </w:tc>
        <w:tc>
          <w:tcPr>
            <w:tcW w:w="1863"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主要职业类别</w:t>
            </w:r>
          </w:p>
        </w:tc>
        <w:tc>
          <w:tcPr>
            <w:tcW w:w="3073"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主要岗位类别或技术领域</w:t>
            </w:r>
          </w:p>
        </w:tc>
        <w:tc>
          <w:tcPr>
            <w:tcW w:w="3006"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职业技</w:t>
            </w:r>
            <w:r>
              <w:rPr>
                <w:rFonts w:hint="eastAsia" w:ascii="宋体" w:hAnsi="宋体" w:eastAsia="宋体" w:cs="宋体"/>
                <w:color w:val="auto"/>
                <w:sz w:val="18"/>
                <w:szCs w:val="18"/>
                <w:lang w:val="en-US" w:eastAsia="zh-CN"/>
              </w:rPr>
              <w:t>能</w:t>
            </w:r>
            <w:r>
              <w:rPr>
                <w:rFonts w:hint="eastAsia" w:ascii="宋体" w:hAnsi="宋体" w:eastAsia="宋体" w:cs="宋体"/>
                <w:color w:val="auto"/>
                <w:sz w:val="18"/>
                <w:szCs w:val="18"/>
              </w:rPr>
              <w:t>等级证书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6"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公共管理与服务大类</w:t>
            </w:r>
          </w:p>
        </w:tc>
        <w:tc>
          <w:tcPr>
            <w:tcW w:w="700"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公共服务类</w:t>
            </w:r>
          </w:p>
          <w:p>
            <w:pPr>
              <w:spacing w:line="240" w:lineRule="auto"/>
              <w:jc w:val="center"/>
              <w:rPr>
                <w:rFonts w:hint="eastAsia" w:ascii="宋体" w:hAnsi="宋体" w:eastAsia="宋体" w:cs="宋体"/>
                <w:color w:val="auto"/>
                <w:sz w:val="18"/>
                <w:szCs w:val="18"/>
                <w:lang w:val="zh-CN"/>
              </w:rPr>
            </w:pPr>
          </w:p>
        </w:tc>
        <w:tc>
          <w:tcPr>
            <w:tcW w:w="1500"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居民服务业</w:t>
            </w:r>
          </w:p>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其他服务业</w:t>
            </w:r>
          </w:p>
          <w:p>
            <w:pPr>
              <w:spacing w:line="240" w:lineRule="auto"/>
              <w:jc w:val="center"/>
              <w:rPr>
                <w:rFonts w:hint="eastAsia" w:ascii="宋体" w:hAnsi="宋体" w:eastAsia="宋体" w:cs="宋体"/>
                <w:color w:val="auto"/>
                <w:sz w:val="18"/>
                <w:szCs w:val="18"/>
                <w:lang w:val="zh-CN"/>
              </w:rPr>
            </w:pPr>
          </w:p>
        </w:tc>
        <w:tc>
          <w:tcPr>
            <w:tcW w:w="1863"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养老护理员</w:t>
            </w:r>
          </w:p>
          <w:p>
            <w:pPr>
              <w:spacing w:line="240" w:lineRule="auto"/>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老年社会工作</w:t>
            </w:r>
          </w:p>
          <w:p>
            <w:pPr>
              <w:spacing w:line="240" w:lineRule="auto"/>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养老机构管理</w:t>
            </w:r>
          </w:p>
        </w:tc>
        <w:tc>
          <w:tcPr>
            <w:tcW w:w="3073"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老年生活</w:t>
            </w:r>
            <w:r>
              <w:rPr>
                <w:rFonts w:hint="eastAsia" w:ascii="宋体" w:hAnsi="宋体" w:eastAsia="宋体" w:cs="宋体"/>
                <w:color w:val="auto"/>
                <w:sz w:val="18"/>
                <w:szCs w:val="18"/>
              </w:rPr>
              <w:t>照护；</w:t>
            </w:r>
          </w:p>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老年康复保健；</w:t>
            </w:r>
          </w:p>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老年社会工作；</w:t>
            </w:r>
          </w:p>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养老休闲活动组织与策划；</w:t>
            </w:r>
          </w:p>
          <w:p>
            <w:pPr>
              <w:pStyle w:val="2"/>
              <w:spacing w:line="24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智慧养老设备使用与开发。</w:t>
            </w:r>
          </w:p>
          <w:p>
            <w:pPr>
              <w:spacing w:line="240" w:lineRule="auto"/>
              <w:jc w:val="center"/>
              <w:rPr>
                <w:rFonts w:hint="eastAsia" w:ascii="宋体" w:hAnsi="宋体" w:eastAsia="宋体" w:cs="宋体"/>
                <w:color w:val="auto"/>
                <w:sz w:val="18"/>
                <w:szCs w:val="18"/>
                <w:lang w:val="zh-CN"/>
              </w:rPr>
            </w:pPr>
          </w:p>
        </w:tc>
        <w:tc>
          <w:tcPr>
            <w:tcW w:w="3006" w:type="dxa"/>
            <w:vAlign w:val="center"/>
          </w:tcPr>
          <w:p>
            <w:pPr>
              <w:spacing w:line="240" w:lineRule="auto"/>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养老护理员；</w:t>
            </w:r>
          </w:p>
          <w:p>
            <w:pPr>
              <w:spacing w:line="240" w:lineRule="auto"/>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老年人能力评估师；</w:t>
            </w:r>
          </w:p>
          <w:p>
            <w:pPr>
              <w:spacing w:line="240" w:lineRule="auto"/>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失智老年人照护职业技能等级证书；</w:t>
            </w:r>
          </w:p>
          <w:p>
            <w:pPr>
              <w:spacing w:line="240" w:lineRule="auto"/>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老年照护职业技能等级证书；</w:t>
            </w:r>
          </w:p>
          <w:p>
            <w:pPr>
              <w:spacing w:line="240" w:lineRule="auto"/>
              <w:jc w:val="center"/>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老年康体指导职业技能等级证书；</w:t>
            </w:r>
          </w:p>
          <w:p>
            <w:pPr>
              <w:spacing w:line="240" w:lineRule="auto"/>
              <w:jc w:val="center"/>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en-US" w:eastAsia="zh-CN"/>
              </w:rPr>
              <w:t>老年护理服务需求评估职业技能等级证书；</w:t>
            </w:r>
          </w:p>
        </w:tc>
      </w:tr>
    </w:tbl>
    <w:p>
      <w:pPr>
        <w:pStyle w:val="4"/>
        <w:bidi w:val="0"/>
      </w:pPr>
      <w:bookmarkStart w:id="11" w:name="_Toc26499"/>
      <w:bookmarkStart w:id="12" w:name="_Toc7510"/>
      <w:r>
        <w:rPr>
          <w:rFonts w:hint="eastAsia"/>
          <w:lang w:val="en-US" w:eastAsia="zh-CN"/>
        </w:rPr>
        <w:t>五、</w:t>
      </w:r>
      <w:r>
        <w:rPr>
          <w:rFonts w:hint="eastAsia"/>
        </w:rPr>
        <w:t>培养目标与培养规格</w:t>
      </w:r>
      <w:bookmarkEnd w:id="11"/>
      <w:bookmarkEnd w:id="12"/>
    </w:p>
    <w:p>
      <w:pPr>
        <w:pStyle w:val="5"/>
        <w:bidi w:val="0"/>
        <w:rPr>
          <w:color w:val="auto"/>
        </w:rPr>
      </w:pPr>
      <w:bookmarkStart w:id="13" w:name="_Toc6052"/>
      <w:bookmarkStart w:id="14" w:name="_Toc9327"/>
      <w:r>
        <w:rPr>
          <w:rFonts w:hint="eastAsia"/>
          <w:color w:val="auto"/>
        </w:rPr>
        <w:t>（一）培养目标</w:t>
      </w:r>
      <w:bookmarkEnd w:id="13"/>
      <w:bookmarkEnd w:id="14"/>
    </w:p>
    <w:p>
      <w:pPr>
        <w:bidi w:val="0"/>
        <w:ind w:firstLine="420" w:firstLineChars="200"/>
        <w:rPr>
          <w:rFonts w:hint="eastAsia"/>
        </w:rPr>
      </w:pPr>
      <w:r>
        <w:rPr>
          <w:rFonts w:hint="eastAsia"/>
        </w:rPr>
        <w:t>本专业培养理想信念坚定，德智体美劳全面发展，立志服务乡村振兴、服务民族地区，具备“下得去、用得上、干得好、留得住、有发展”的“四得一有”综合素质，具有较强人际协调能力、一定的口语水平和</w:t>
      </w:r>
      <w:r>
        <w:rPr>
          <w:rFonts w:hint="eastAsia"/>
          <w:lang w:val="en-US" w:eastAsia="zh-CN"/>
        </w:rPr>
        <w:t>智慧养老设备</w:t>
      </w:r>
      <w:r>
        <w:rPr>
          <w:rFonts w:hint="eastAsia"/>
        </w:rPr>
        <w:t>应用技术能力，具备</w:t>
      </w:r>
      <w:r>
        <w:rPr>
          <w:rFonts w:hint="eastAsia"/>
          <w:lang w:val="en-US" w:eastAsia="zh-CN"/>
        </w:rPr>
        <w:t>服务</w:t>
      </w:r>
      <w:r>
        <w:rPr>
          <w:rFonts w:hint="eastAsia"/>
        </w:rPr>
        <w:t>老年社会和管理社区生活的素质，掌握营养学、管理学、社会工作、社区服务、健康管理和心理学</w:t>
      </w:r>
      <w:r>
        <w:rPr>
          <w:rFonts w:hint="eastAsia"/>
          <w:lang w:eastAsia="zh-CN"/>
        </w:rPr>
        <w:t>、</w:t>
      </w:r>
      <w:r>
        <w:rPr>
          <w:rFonts w:hint="eastAsia"/>
          <w:lang w:val="en-US" w:eastAsia="zh-CN"/>
        </w:rPr>
        <w:t>智慧康养</w:t>
      </w:r>
      <w:r>
        <w:rPr>
          <w:rFonts w:hint="eastAsia"/>
        </w:rPr>
        <w:t>等方面知识和技术技能，熟悉国家社会保障、民政工作、社区工作的政策法规，面向康复理疗、养老护理员、社工、旅居照护、营养配餐员、养老产品销售及</w:t>
      </w:r>
      <w:r>
        <w:rPr>
          <w:rFonts w:hint="eastAsia"/>
          <w:lang w:val="en-US" w:eastAsia="zh-CN"/>
        </w:rPr>
        <w:t>开发</w:t>
      </w:r>
      <w:r>
        <w:rPr>
          <w:rFonts w:hint="eastAsia"/>
        </w:rPr>
        <w:t>、养老活动主持等职业岗位群，能够从事老年人的</w:t>
      </w:r>
      <w:r>
        <w:rPr>
          <w:rFonts w:hint="eastAsia"/>
          <w:lang w:val="en-US" w:eastAsia="zh-CN"/>
        </w:rPr>
        <w:t>生活护理</w:t>
      </w:r>
      <w:r>
        <w:rPr>
          <w:rFonts w:hint="eastAsia"/>
        </w:rPr>
        <w:t>、健康管理、社会工作、公共营养、文娱活动策划</w:t>
      </w:r>
      <w:r>
        <w:rPr>
          <w:rFonts w:hint="eastAsia"/>
          <w:lang w:eastAsia="zh-CN"/>
        </w:rPr>
        <w:t>、</w:t>
      </w:r>
      <w:r>
        <w:rPr>
          <w:rFonts w:hint="eastAsia"/>
          <w:lang w:val="en-US" w:eastAsia="zh-CN"/>
        </w:rPr>
        <w:t>智慧设备应用</w:t>
      </w:r>
      <w:r>
        <w:rPr>
          <w:rFonts w:hint="eastAsia"/>
        </w:rPr>
        <w:t>等工作的</w:t>
      </w:r>
      <w:r>
        <w:rPr>
          <w:rFonts w:hint="eastAsia"/>
          <w:lang w:val="en-US" w:eastAsia="zh-CN"/>
        </w:rPr>
        <w:t>养老护理</w:t>
      </w:r>
      <w:r>
        <w:rPr>
          <w:rFonts w:hint="eastAsia"/>
        </w:rPr>
        <w:t>人才</w:t>
      </w:r>
      <w:r>
        <w:rPr>
          <w:rFonts w:hint="eastAsia"/>
          <w:lang w:val="en-US" w:eastAsia="zh-CN"/>
        </w:rPr>
        <w:t>和老年活动策划人才</w:t>
      </w:r>
      <w:r>
        <w:rPr>
          <w:rFonts w:hint="eastAsia"/>
        </w:rPr>
        <w:t>。</w:t>
      </w:r>
    </w:p>
    <w:p>
      <w:pPr>
        <w:pStyle w:val="5"/>
        <w:numPr>
          <w:ilvl w:val="0"/>
          <w:numId w:val="2"/>
        </w:numPr>
        <w:bidi w:val="0"/>
        <w:rPr>
          <w:color w:val="auto"/>
        </w:rPr>
      </w:pPr>
      <w:bookmarkStart w:id="15" w:name="_Toc10393"/>
      <w:bookmarkStart w:id="16" w:name="_Toc11488"/>
      <w:r>
        <w:rPr>
          <w:rFonts w:hint="eastAsia"/>
          <w:color w:val="auto"/>
        </w:rPr>
        <w:t>培养规格</w:t>
      </w:r>
      <w:bookmarkEnd w:id="15"/>
      <w:bookmarkEnd w:id="16"/>
    </w:p>
    <w:p>
      <w:pPr>
        <w:pStyle w:val="6"/>
        <w:numPr>
          <w:ilvl w:val="0"/>
          <w:numId w:val="3"/>
        </w:numPr>
        <w:bidi w:val="0"/>
        <w:rPr>
          <w:color w:val="auto"/>
        </w:rPr>
      </w:pPr>
      <w:bookmarkStart w:id="17" w:name="_Toc20446"/>
      <w:bookmarkStart w:id="18" w:name="_Toc8841"/>
      <w:r>
        <w:rPr>
          <w:rFonts w:hint="eastAsia"/>
          <w:color w:val="auto"/>
        </w:rPr>
        <w:t>知识要求</w:t>
      </w:r>
      <w:bookmarkEnd w:id="17"/>
      <w:bookmarkEnd w:id="18"/>
      <w:r>
        <w:rPr>
          <w:rFonts w:hint="eastAsia"/>
          <w:color w:val="auto"/>
        </w:rPr>
        <w:t xml:space="preserve"> </w:t>
      </w:r>
    </w:p>
    <w:p>
      <w:pPr>
        <w:bidi w:val="0"/>
        <w:ind w:firstLine="420" w:firstLineChars="200"/>
      </w:pPr>
      <w:r>
        <w:rPr>
          <w:rFonts w:hint="eastAsia"/>
          <w:lang w:eastAsia="zh-CN"/>
        </w:rPr>
        <w:t>（</w:t>
      </w:r>
      <w:r>
        <w:rPr>
          <w:rFonts w:hint="eastAsia"/>
          <w:lang w:val="en-US" w:eastAsia="zh-CN"/>
        </w:rPr>
        <w:t>1）</w:t>
      </w:r>
      <w:r>
        <w:rPr>
          <w:rFonts w:hint="eastAsia"/>
        </w:rPr>
        <w:t>掌握本专业所必需的文化基础知识。包括思想道德修养与法律基础、毛泽东思想和中国特色社会主义理论体系概论、职业发展与创新创业教育、英语、语文</w:t>
      </w:r>
      <w:r>
        <w:rPr>
          <w:rFonts w:hint="eastAsia"/>
          <w:lang w:eastAsia="zh-CN"/>
        </w:rPr>
        <w:t>、</w:t>
      </w:r>
      <w:r>
        <w:rPr>
          <w:rFonts w:hint="eastAsia"/>
        </w:rPr>
        <w:t>计算机应用基础等知识。</w:t>
      </w:r>
    </w:p>
    <w:p>
      <w:pPr>
        <w:bidi w:val="0"/>
        <w:ind w:firstLine="420" w:firstLineChars="200"/>
      </w:pPr>
      <w:r>
        <w:rPr>
          <w:rFonts w:hint="eastAsia"/>
          <w:lang w:eastAsia="zh-CN"/>
        </w:rPr>
        <w:t>（</w:t>
      </w:r>
      <w:r>
        <w:rPr>
          <w:rFonts w:hint="eastAsia"/>
          <w:lang w:val="en-US" w:eastAsia="zh-CN"/>
        </w:rPr>
        <w:t>2）</w:t>
      </w:r>
      <w:r>
        <w:rPr>
          <w:rFonts w:hint="eastAsia"/>
        </w:rPr>
        <w:t>掌握本专业所必需的专业基础知识。包括管理学基础、老年健康照护、老年康复与保健、老年心理护理、老年运动与保健、老年社会工作理论与实务、营养与饮食保健、养老机构经营与管理等。</w:t>
      </w:r>
    </w:p>
    <w:p>
      <w:pPr>
        <w:pStyle w:val="6"/>
        <w:bidi w:val="0"/>
        <w:rPr>
          <w:color w:val="auto"/>
        </w:rPr>
      </w:pPr>
      <w:bookmarkStart w:id="19" w:name="_Toc26878"/>
      <w:bookmarkStart w:id="20" w:name="_Toc1064"/>
      <w:r>
        <w:rPr>
          <w:rFonts w:hint="eastAsia"/>
          <w:color w:val="auto"/>
        </w:rPr>
        <w:t>2、能力要求</w:t>
      </w:r>
      <w:bookmarkEnd w:id="19"/>
      <w:bookmarkEnd w:id="20"/>
      <w:r>
        <w:rPr>
          <w:rFonts w:hint="eastAsia"/>
          <w:color w:val="auto"/>
        </w:rPr>
        <w:t xml:space="preserve"> </w:t>
      </w:r>
    </w:p>
    <w:p>
      <w:pPr>
        <w:bidi w:val="0"/>
        <w:ind w:firstLine="420" w:firstLineChars="200"/>
      </w:pPr>
      <w:r>
        <w:rPr>
          <w:rFonts w:hint="eastAsia"/>
          <w:lang w:eastAsia="zh-CN"/>
        </w:rPr>
        <w:t>（</w:t>
      </w:r>
      <w:r>
        <w:rPr>
          <w:rFonts w:hint="eastAsia"/>
          <w:lang w:val="en-US" w:eastAsia="zh-CN"/>
        </w:rPr>
        <w:t>1）</w:t>
      </w:r>
      <w:r>
        <w:rPr>
          <w:rFonts w:hint="eastAsia"/>
        </w:rPr>
        <w:t>专业基本能力：较强的语言表达和沟通能力、团队合作和组织协调能力、主动获取信息的能力</w:t>
      </w:r>
      <w:r>
        <w:rPr>
          <w:rFonts w:hint="eastAsia"/>
          <w:lang w:val="en-US" w:eastAsia="zh-CN"/>
        </w:rPr>
        <w:t>。</w:t>
      </w:r>
      <w:r>
        <w:rPr>
          <w:rFonts w:hint="eastAsia"/>
        </w:rPr>
        <w:t xml:space="preserve"> </w:t>
      </w:r>
    </w:p>
    <w:p>
      <w:pPr>
        <w:bidi w:val="0"/>
        <w:ind w:firstLine="420" w:firstLineChars="200"/>
      </w:pPr>
      <w:r>
        <w:rPr>
          <w:rFonts w:hint="eastAsia"/>
          <w:lang w:eastAsia="zh-CN"/>
        </w:rPr>
        <w:t>（</w:t>
      </w:r>
      <w:r>
        <w:rPr>
          <w:rFonts w:hint="eastAsia"/>
          <w:lang w:val="en-US" w:eastAsia="zh-CN"/>
        </w:rPr>
        <w:t>2）</w:t>
      </w:r>
      <w:r>
        <w:rPr>
          <w:rFonts w:hint="eastAsia"/>
        </w:rPr>
        <w:t>专业核心能力：老年人生活护理能力、老年人心理护理能力、老年人疾病照护能力、老年人康复与保健能力、老年人营养配餐能力。</w:t>
      </w:r>
    </w:p>
    <w:p>
      <w:pPr>
        <w:bidi w:val="0"/>
        <w:ind w:firstLine="420" w:firstLineChars="200"/>
        <w:rPr>
          <w:rFonts w:hint="eastAsia"/>
        </w:rPr>
      </w:pPr>
      <w:r>
        <w:rPr>
          <w:rFonts w:hint="eastAsia"/>
          <w:lang w:eastAsia="zh-CN"/>
        </w:rPr>
        <w:t>（</w:t>
      </w:r>
      <w:r>
        <w:rPr>
          <w:rFonts w:hint="eastAsia"/>
          <w:lang w:val="en-US" w:eastAsia="zh-CN"/>
        </w:rPr>
        <w:t>3）</w:t>
      </w:r>
      <w:r>
        <w:rPr>
          <w:rFonts w:hint="eastAsia"/>
        </w:rPr>
        <w:t>专业拓展能力：具有老年生活策划、活动组织能力和企业管理能力</w:t>
      </w:r>
      <w:r>
        <w:rPr>
          <w:rFonts w:hint="eastAsia"/>
          <w:lang w:eastAsia="zh-CN"/>
        </w:rPr>
        <w:t>、</w:t>
      </w:r>
      <w:r>
        <w:rPr>
          <w:rFonts w:hint="eastAsia"/>
          <w:lang w:val="en-US" w:eastAsia="zh-CN"/>
        </w:rPr>
        <w:t>智慧康养服务能力、</w:t>
      </w:r>
      <w:r>
        <w:rPr>
          <w:rFonts w:hint="eastAsia"/>
        </w:rPr>
        <w:t xml:space="preserve">创业能力。 </w:t>
      </w:r>
    </w:p>
    <w:p>
      <w:pPr>
        <w:bidi w:val="0"/>
        <w:ind w:firstLine="420" w:firstLineChars="200"/>
        <w:rPr>
          <w:rFonts w:hint="eastAsia"/>
        </w:rPr>
      </w:pPr>
      <w:r>
        <w:rPr>
          <w:rFonts w:hint="eastAsia"/>
          <w:lang w:val="en-US" w:eastAsia="zh-CN"/>
        </w:rPr>
        <w:t>（4）具有可持续发展能力。具有较强的自主学习、知识更新和业务创新能力</w:t>
      </w:r>
      <w:r>
        <w:rPr>
          <w:rFonts w:hint="eastAsia"/>
          <w:lang w:eastAsia="zh-CN"/>
        </w:rPr>
        <w:t>、</w:t>
      </w:r>
      <w:r>
        <w:rPr>
          <w:rFonts w:hint="eastAsia"/>
          <w:lang w:val="en-US" w:eastAsia="zh-CN"/>
        </w:rPr>
        <w:t>终生学习能力。</w:t>
      </w:r>
    </w:p>
    <w:p>
      <w:pPr>
        <w:pStyle w:val="6"/>
        <w:bidi w:val="0"/>
        <w:rPr>
          <w:rFonts w:ascii="仿宋" w:hAnsi="仿宋" w:eastAsia="仿宋" w:cs="仿宋"/>
          <w:b/>
          <w:color w:val="auto"/>
          <w:sz w:val="28"/>
          <w:szCs w:val="28"/>
        </w:rPr>
      </w:pPr>
      <w:bookmarkStart w:id="21" w:name="_Toc22767"/>
      <w:bookmarkStart w:id="22" w:name="_Toc2245"/>
      <w:r>
        <w:rPr>
          <w:rStyle w:val="23"/>
          <w:rFonts w:hint="eastAsia"/>
          <w:b/>
          <w:color w:val="auto"/>
        </w:rPr>
        <w:t>3、素质要求</w:t>
      </w:r>
      <w:bookmarkEnd w:id="21"/>
      <w:bookmarkEnd w:id="22"/>
      <w:r>
        <w:rPr>
          <w:rFonts w:hint="eastAsia" w:ascii="仿宋" w:hAnsi="仿宋" w:eastAsia="仿宋" w:cs="仿宋"/>
          <w:b/>
          <w:color w:val="auto"/>
          <w:sz w:val="28"/>
          <w:szCs w:val="28"/>
        </w:rPr>
        <w:t xml:space="preserve"> </w:t>
      </w:r>
    </w:p>
    <w:p>
      <w:pPr>
        <w:bidi w:val="0"/>
        <w:ind w:firstLine="420" w:firstLineChars="200"/>
        <w:rPr>
          <w:rFonts w:hint="eastAsia"/>
        </w:rPr>
      </w:pPr>
      <w:r>
        <w:rPr>
          <w:rFonts w:hint="eastAsia"/>
          <w:lang w:val="en-US" w:eastAsia="zh-CN"/>
        </w:rPr>
        <w:t>（1）具有正确的世界观、人生观、价值观。坚决拥护中国共产党领导，树立中国特色社会主义共同理想，践行社会主义核心价值观，具有深厚的爱国情感、国家认同感、中华民族自豪感；崇尚宪法、遵守法律、遵规守纪；具有社会责任感和参与意识。</w:t>
      </w:r>
    </w:p>
    <w:p>
      <w:pPr>
        <w:bidi w:val="0"/>
        <w:ind w:firstLine="420" w:firstLineChars="200"/>
        <w:rPr>
          <w:rFonts w:hint="eastAsia"/>
        </w:rPr>
      </w:pPr>
      <w:r>
        <w:rPr>
          <w:rFonts w:hint="eastAsia"/>
          <w:lang w:val="en-US" w:eastAsia="zh-CN"/>
        </w:rPr>
        <w:t>（2）具有良好的职业道德和职业素养具有职业生涯规划意识。</w:t>
      </w:r>
      <w:r>
        <w:rPr>
          <w:rFonts w:hint="eastAsia"/>
        </w:rPr>
        <w:t>了解国家相关政策法规、熟悉养老服务机构管理、同时具备扎实的专业知识和政策水平，懂得维护老年人合法权益、熟悉国家养老保险制度规定、熟悉我国老年社会政策、善于管理经营老年事业产业实体。</w:t>
      </w:r>
    </w:p>
    <w:p>
      <w:pPr>
        <w:bidi w:val="0"/>
        <w:ind w:firstLine="420" w:firstLineChars="200"/>
        <w:rPr>
          <w:rFonts w:hint="eastAsia" w:ascii="仿宋" w:hAnsi="仿宋" w:eastAsia="仿宋" w:cs="仿宋"/>
          <w:bCs/>
          <w:color w:val="auto"/>
          <w:szCs w:val="28"/>
        </w:rPr>
      </w:pPr>
      <w:r>
        <w:rPr>
          <w:rFonts w:hint="eastAsia"/>
          <w:lang w:val="en-US" w:eastAsia="zh-CN"/>
        </w:rPr>
        <w:t>（3）具有良好的身心素质和人文素养。具有健康的体魄和心理、健全的人格，能够掌握基本运动知识和一两项运动技能；具有感受美、表现美、鉴赏美、创造美的能力，具有一定的审美和人文素养，能够形成一两项艺术特长或爱好；掌握一定的学习方法，具有良好的生活习惯、行为习惯和自我管理能力。</w:t>
      </w:r>
      <w:r>
        <w:rPr>
          <w:rFonts w:hint="eastAsia" w:ascii="仿宋" w:hAnsi="仿宋" w:eastAsia="仿宋" w:cs="仿宋"/>
          <w:bCs/>
          <w:color w:val="auto"/>
          <w:szCs w:val="28"/>
          <w:lang w:val="en-US" w:eastAsia="zh-CN"/>
        </w:rPr>
        <w:t xml:space="preserve"> </w:t>
      </w:r>
    </w:p>
    <w:p>
      <w:pPr>
        <w:pStyle w:val="4"/>
        <w:numPr>
          <w:ilvl w:val="0"/>
          <w:numId w:val="0"/>
        </w:numPr>
        <w:bidi w:val="0"/>
        <w:rPr>
          <w:color w:val="auto"/>
        </w:rPr>
      </w:pPr>
      <w:bookmarkStart w:id="23" w:name="_Toc26969"/>
      <w:bookmarkStart w:id="24" w:name="_Toc24621"/>
      <w:r>
        <w:rPr>
          <w:rFonts w:hint="eastAsia"/>
          <w:color w:val="auto"/>
          <w:lang w:val="en-US" w:eastAsia="zh-CN"/>
        </w:rPr>
        <w:t>六、</w:t>
      </w:r>
      <w:r>
        <w:rPr>
          <w:rFonts w:hint="eastAsia"/>
          <w:color w:val="auto"/>
        </w:rPr>
        <w:t>课程设置及要求</w:t>
      </w:r>
      <w:bookmarkEnd w:id="23"/>
      <w:bookmarkEnd w:id="24"/>
    </w:p>
    <w:p>
      <w:pPr>
        <w:bidi w:val="0"/>
        <w:ind w:firstLine="420" w:firstLineChars="200"/>
        <w:rPr>
          <w:rFonts w:hint="eastAsia"/>
          <w:color w:val="auto"/>
        </w:rPr>
      </w:pPr>
      <w:r>
        <w:rPr>
          <w:rFonts w:hint="eastAsia"/>
        </w:rPr>
        <w:t>主要包括公共基础课程和专业（技能）课程。公共基础课程分为公共必修课和公共选修课；专业（技能）课程分为专业必修课和专业选修课。</w:t>
      </w:r>
      <w:bookmarkStart w:id="25" w:name="_Toc17709"/>
    </w:p>
    <w:p>
      <w:pPr>
        <w:pStyle w:val="5"/>
        <w:bidi w:val="0"/>
        <w:rPr>
          <w:color w:val="auto"/>
        </w:rPr>
      </w:pPr>
      <w:bookmarkStart w:id="26" w:name="_Toc8393"/>
      <w:r>
        <w:rPr>
          <w:rFonts w:hint="eastAsia"/>
          <w:color w:val="auto"/>
        </w:rPr>
        <w:t>（一）公共基础课程</w:t>
      </w:r>
      <w:bookmarkEnd w:id="25"/>
      <w:bookmarkEnd w:id="26"/>
    </w:p>
    <w:p>
      <w:pPr>
        <w:pStyle w:val="7"/>
        <w:bidi w:val="0"/>
        <w:rPr>
          <w:color w:val="auto"/>
          <w:lang w:val="en-US"/>
        </w:rPr>
      </w:pPr>
      <w:bookmarkStart w:id="27" w:name="_Toc16799"/>
      <w:r>
        <w:rPr>
          <w:rFonts w:hint="eastAsia"/>
          <w:color w:val="auto"/>
        </w:rPr>
        <w:t xml:space="preserve">表 </w:t>
      </w:r>
      <w:r>
        <w:rPr>
          <w:rFonts w:hint="eastAsia"/>
          <w:color w:val="auto"/>
          <w:lang w:val="en-US"/>
        </w:rPr>
        <w:t>2</w:t>
      </w:r>
      <w:r>
        <w:rPr>
          <w:rFonts w:hint="eastAsia"/>
          <w:color w:val="auto"/>
        </w:rPr>
        <w:t xml:space="preserve"> </w:t>
      </w:r>
      <w:r>
        <w:rPr>
          <w:rFonts w:hint="eastAsia"/>
          <w:color w:val="auto"/>
          <w:lang w:eastAsia="zh-CN"/>
        </w:rPr>
        <w:t>智慧健康养老服务与管理专业</w:t>
      </w:r>
      <w:r>
        <w:rPr>
          <w:rFonts w:hint="eastAsia"/>
          <w:color w:val="auto"/>
          <w:lang w:val="en-US"/>
        </w:rPr>
        <w:t>公共基础课程概述</w:t>
      </w:r>
      <w:r>
        <w:rPr>
          <w:rFonts w:hint="eastAsia"/>
          <w:color w:val="auto"/>
        </w:rPr>
        <w:t>表</w:t>
      </w:r>
      <w:bookmarkEnd w:id="27"/>
    </w:p>
    <w:tbl>
      <w:tblPr>
        <w:tblStyle w:val="16"/>
        <w:tblW w:w="1004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3"/>
        <w:gridCol w:w="1045"/>
        <w:gridCol w:w="567"/>
        <w:gridCol w:w="690"/>
        <w:gridCol w:w="3543"/>
        <w:gridCol w:w="36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jc w:val="center"/>
        </w:trPr>
        <w:tc>
          <w:tcPr>
            <w:tcW w:w="523"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序号</w:t>
            </w:r>
          </w:p>
        </w:tc>
        <w:tc>
          <w:tcPr>
            <w:tcW w:w="1045"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课程名称</w:t>
            </w:r>
          </w:p>
        </w:tc>
        <w:tc>
          <w:tcPr>
            <w:tcW w:w="567" w:type="dxa"/>
            <w:vAlign w:val="center"/>
          </w:tcPr>
          <w:p>
            <w:pPr>
              <w:jc w:val="center"/>
              <w:rPr>
                <w:rFonts w:hint="eastAsia" w:ascii="宋体" w:hAnsi="宋体" w:eastAsia="宋体" w:cs="宋体"/>
                <w:color w:val="auto"/>
                <w:sz w:val="18"/>
                <w:szCs w:val="18"/>
                <w:lang w:val="zh-CN"/>
              </w:rPr>
            </w:pPr>
            <w:r>
              <w:rPr>
                <w:rFonts w:hint="eastAsia" w:ascii="宋体" w:hAnsi="宋体" w:eastAsia="宋体" w:cs="宋体"/>
                <w:color w:val="auto"/>
                <w:sz w:val="18"/>
                <w:szCs w:val="18"/>
                <w:lang w:val="zh-CN"/>
              </w:rPr>
              <w:t>学分</w:t>
            </w:r>
          </w:p>
        </w:tc>
        <w:tc>
          <w:tcPr>
            <w:tcW w:w="690" w:type="dxa"/>
            <w:vAlign w:val="center"/>
          </w:tcPr>
          <w:p>
            <w:pPr>
              <w:jc w:val="center"/>
              <w:rPr>
                <w:rFonts w:hint="eastAsia" w:ascii="宋体" w:hAnsi="宋体" w:eastAsia="宋体" w:cs="宋体"/>
                <w:color w:val="auto"/>
                <w:sz w:val="18"/>
                <w:szCs w:val="18"/>
                <w:lang w:val="zh-CN"/>
              </w:rPr>
            </w:pPr>
            <w:r>
              <w:rPr>
                <w:rFonts w:hint="eastAsia" w:ascii="宋体" w:hAnsi="宋体" w:eastAsia="宋体" w:cs="宋体"/>
                <w:color w:val="auto"/>
                <w:sz w:val="18"/>
                <w:szCs w:val="18"/>
                <w:lang w:val="zh-CN"/>
              </w:rPr>
              <w:t>学时</w:t>
            </w:r>
          </w:p>
        </w:tc>
        <w:tc>
          <w:tcPr>
            <w:tcW w:w="3543"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课程目标</w:t>
            </w:r>
          </w:p>
        </w:tc>
        <w:tc>
          <w:tcPr>
            <w:tcW w:w="3679"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主要内容和教学要求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7" w:hRule="atLeast"/>
          <w:jc w:val="center"/>
        </w:trPr>
        <w:tc>
          <w:tcPr>
            <w:tcW w:w="523"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1045"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思想道德与法治</w:t>
            </w:r>
          </w:p>
        </w:tc>
        <w:tc>
          <w:tcPr>
            <w:tcW w:w="567" w:type="dxa"/>
            <w:vAlign w:val="center"/>
          </w:tcPr>
          <w:p>
            <w:pPr>
              <w:jc w:val="center"/>
              <w:rPr>
                <w:rFonts w:hint="eastAsia" w:ascii="宋体" w:hAnsi="宋体" w:eastAsia="宋体" w:cs="宋体"/>
                <w:color w:val="auto"/>
                <w:sz w:val="18"/>
                <w:szCs w:val="18"/>
                <w:lang w:val="en-US"/>
              </w:rPr>
            </w:pPr>
            <w:r>
              <w:rPr>
                <w:rFonts w:hint="eastAsia" w:ascii="宋体" w:hAnsi="宋体" w:eastAsia="宋体" w:cs="宋体"/>
                <w:color w:val="auto"/>
                <w:sz w:val="18"/>
                <w:szCs w:val="18"/>
                <w:lang w:val="en-US"/>
              </w:rPr>
              <w:t>2</w:t>
            </w:r>
          </w:p>
        </w:tc>
        <w:tc>
          <w:tcPr>
            <w:tcW w:w="690" w:type="dxa"/>
            <w:vAlign w:val="center"/>
          </w:tcPr>
          <w:p>
            <w:pPr>
              <w:jc w:val="center"/>
              <w:rPr>
                <w:rFonts w:hint="eastAsia" w:ascii="宋体" w:hAnsi="宋体" w:eastAsia="宋体" w:cs="宋体"/>
                <w:color w:val="auto"/>
                <w:sz w:val="18"/>
                <w:szCs w:val="18"/>
                <w:lang w:val="en-US"/>
              </w:rPr>
            </w:pPr>
            <w:r>
              <w:rPr>
                <w:rFonts w:hint="eastAsia" w:ascii="宋体" w:hAnsi="宋体" w:eastAsia="宋体" w:cs="宋体"/>
                <w:color w:val="auto"/>
                <w:sz w:val="18"/>
                <w:szCs w:val="18"/>
                <w:lang w:val="en-US"/>
              </w:rPr>
              <w:t>32</w:t>
            </w:r>
          </w:p>
        </w:tc>
        <w:tc>
          <w:tcPr>
            <w:tcW w:w="3543"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rPr>
              <w:t>教育引导学生加强自身道德修养，提高思想道德素质；加强法律观念和法律意识教育，提高法律素养；培养学生爱岗敬业、诚实守信等道德品质。</w:t>
            </w:r>
          </w:p>
        </w:tc>
        <w:tc>
          <w:tcPr>
            <w:tcW w:w="3679"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rPr>
              <w:t>主要包括社会主义道德教育和法制教育，帮助学生增强社会主义法制观念， 提高思想道德素质，解决成长成才过程中遇到的实际问题。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6" w:hRule="atLeast"/>
          <w:jc w:val="center"/>
        </w:trPr>
        <w:tc>
          <w:tcPr>
            <w:tcW w:w="523"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1045"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毛泽东思想和中国特色社会主义理论体系概论</w:t>
            </w:r>
          </w:p>
        </w:tc>
        <w:tc>
          <w:tcPr>
            <w:tcW w:w="567" w:type="dxa"/>
            <w:vAlign w:val="center"/>
          </w:tcPr>
          <w:p>
            <w:pPr>
              <w:jc w:val="center"/>
              <w:rPr>
                <w:rFonts w:hint="eastAsia" w:ascii="宋体" w:hAnsi="宋体" w:eastAsia="宋体" w:cs="宋体"/>
                <w:color w:val="auto"/>
                <w:sz w:val="18"/>
                <w:szCs w:val="18"/>
                <w:lang w:val="en-US"/>
              </w:rPr>
            </w:pPr>
            <w:r>
              <w:rPr>
                <w:rFonts w:hint="eastAsia" w:ascii="宋体" w:hAnsi="宋体" w:eastAsia="宋体" w:cs="宋体"/>
                <w:color w:val="auto"/>
                <w:sz w:val="18"/>
                <w:szCs w:val="18"/>
                <w:lang w:val="en-US"/>
              </w:rPr>
              <w:t>4</w:t>
            </w:r>
          </w:p>
        </w:tc>
        <w:tc>
          <w:tcPr>
            <w:tcW w:w="690" w:type="dxa"/>
            <w:vAlign w:val="center"/>
          </w:tcPr>
          <w:p>
            <w:pPr>
              <w:jc w:val="center"/>
              <w:rPr>
                <w:rFonts w:hint="eastAsia" w:ascii="宋体" w:hAnsi="宋体" w:eastAsia="宋体" w:cs="宋体"/>
                <w:color w:val="auto"/>
                <w:sz w:val="18"/>
                <w:szCs w:val="18"/>
                <w:lang w:val="en-US"/>
              </w:rPr>
            </w:pPr>
            <w:r>
              <w:rPr>
                <w:rFonts w:hint="eastAsia" w:ascii="宋体" w:hAnsi="宋体" w:eastAsia="宋体" w:cs="宋体"/>
                <w:color w:val="auto"/>
                <w:sz w:val="18"/>
                <w:szCs w:val="18"/>
                <w:lang w:val="en-US"/>
              </w:rPr>
              <w:t>64</w:t>
            </w:r>
          </w:p>
        </w:tc>
        <w:tc>
          <w:tcPr>
            <w:tcW w:w="3543"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rPr>
              <w:t>强化学生对中国共产党领导人民进行的革命、建设、改革的历史进程深刻认 识；对党在新时代基本理论、基本路 线、基本方略理解的更加透彻；提高大学生认识、分析和解决问题能力。</w:t>
            </w:r>
          </w:p>
        </w:tc>
        <w:tc>
          <w:tcPr>
            <w:tcW w:w="3679"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rPr>
              <w:t>着重讲授中国共产党把马克思主义基本原理与中国实际相结合的历史进程，充分反映马克思主义中国化的三大理论成果，坚定在党的领导下走中国特色社会主义道路的理想信念。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0" w:hRule="atLeast"/>
          <w:jc w:val="center"/>
        </w:trPr>
        <w:tc>
          <w:tcPr>
            <w:tcW w:w="523"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1045"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形势与政策</w:t>
            </w:r>
          </w:p>
        </w:tc>
        <w:tc>
          <w:tcPr>
            <w:tcW w:w="567" w:type="dxa"/>
            <w:vAlign w:val="center"/>
          </w:tcPr>
          <w:p>
            <w:pPr>
              <w:jc w:val="center"/>
              <w:rPr>
                <w:rFonts w:hint="eastAsia" w:ascii="宋体" w:hAnsi="宋体" w:eastAsia="宋体" w:cs="宋体"/>
                <w:color w:val="auto"/>
                <w:sz w:val="18"/>
                <w:szCs w:val="18"/>
                <w:lang w:val="en-US"/>
              </w:rPr>
            </w:pPr>
            <w:r>
              <w:rPr>
                <w:rFonts w:hint="eastAsia" w:ascii="宋体" w:hAnsi="宋体" w:eastAsia="宋体" w:cs="宋体"/>
                <w:color w:val="auto"/>
                <w:sz w:val="18"/>
                <w:szCs w:val="18"/>
                <w:lang w:val="en-US"/>
              </w:rPr>
              <w:t>5</w:t>
            </w:r>
          </w:p>
        </w:tc>
        <w:tc>
          <w:tcPr>
            <w:tcW w:w="690" w:type="dxa"/>
            <w:vAlign w:val="center"/>
          </w:tcPr>
          <w:p>
            <w:pPr>
              <w:jc w:val="center"/>
              <w:rPr>
                <w:rFonts w:hint="eastAsia" w:ascii="宋体" w:hAnsi="宋体" w:eastAsia="宋体" w:cs="宋体"/>
                <w:color w:val="auto"/>
                <w:sz w:val="18"/>
                <w:szCs w:val="18"/>
                <w:lang w:val="en-US"/>
              </w:rPr>
            </w:pPr>
            <w:r>
              <w:rPr>
                <w:rFonts w:hint="eastAsia" w:ascii="宋体" w:hAnsi="宋体" w:eastAsia="宋体" w:cs="宋体"/>
                <w:color w:val="auto"/>
                <w:sz w:val="18"/>
                <w:szCs w:val="18"/>
                <w:lang w:val="en-US"/>
              </w:rPr>
              <w:t>80</w:t>
            </w:r>
          </w:p>
        </w:tc>
        <w:tc>
          <w:tcPr>
            <w:tcW w:w="3543"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rPr>
              <w:t>引导学生掌握认识形势与政策问题的基本理论和知识，学会正确的形势与政策分析方法，特别对我国的基本国情、国内外重大事件、社会热点和难点等问题的思考、分析和判断能力。</w:t>
            </w:r>
          </w:p>
        </w:tc>
        <w:tc>
          <w:tcPr>
            <w:tcW w:w="3679"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rPr>
              <w:t>着重进行我国改革开放和社会主义现代化建设形势、任务和发展成就教育；党和国家重大方针政策、活动和改革措施教育；当前国际形势与国际关系状况、发展趋势和我国对外政策原则立场教育。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4" w:hRule="atLeast"/>
          <w:jc w:val="center"/>
        </w:trPr>
        <w:tc>
          <w:tcPr>
            <w:tcW w:w="523"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4</w:t>
            </w:r>
          </w:p>
        </w:tc>
        <w:tc>
          <w:tcPr>
            <w:tcW w:w="1045"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军事理论</w:t>
            </w:r>
          </w:p>
        </w:tc>
        <w:tc>
          <w:tcPr>
            <w:tcW w:w="567"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rPr>
              <w:t>2</w:t>
            </w:r>
          </w:p>
        </w:tc>
        <w:tc>
          <w:tcPr>
            <w:tcW w:w="69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rPr>
              <w:t>32</w:t>
            </w:r>
          </w:p>
        </w:tc>
        <w:tc>
          <w:tcPr>
            <w:tcW w:w="3543" w:type="dxa"/>
            <w:vAlign w:val="center"/>
          </w:tcPr>
          <w:p>
            <w:pPr>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了解军事基础知识，增强国防观念、国家安全意识和忧患危机意识，弘扬爱国主义精神、传承红色基因、提高学生综合国防素质。</w:t>
            </w:r>
          </w:p>
        </w:tc>
        <w:tc>
          <w:tcPr>
            <w:tcW w:w="3679" w:type="dxa"/>
            <w:vAlign w:val="center"/>
          </w:tcPr>
          <w:p>
            <w:pPr>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主要包括中国国防、国家安全、军事思想、现代战争、信息化装备五个方面内容。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9" w:hRule="atLeast"/>
          <w:jc w:val="center"/>
        </w:trPr>
        <w:tc>
          <w:tcPr>
            <w:tcW w:w="523"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w:t>
            </w:r>
          </w:p>
        </w:tc>
        <w:tc>
          <w:tcPr>
            <w:tcW w:w="10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大学体育</w:t>
            </w:r>
          </w:p>
        </w:tc>
        <w:tc>
          <w:tcPr>
            <w:tcW w:w="567"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8</w:t>
            </w:r>
          </w:p>
        </w:tc>
        <w:tc>
          <w:tcPr>
            <w:tcW w:w="690"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128</w:t>
            </w:r>
          </w:p>
        </w:tc>
        <w:tc>
          <w:tcPr>
            <w:tcW w:w="3543"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zh-CN" w:eastAsia="zh-CN" w:bidi="zh-CN"/>
              </w:rPr>
              <w:t>掌握和应用基本的体育与健康知识和运动技能，培养运动的兴趣和爱好，形成坚持锻炼的习惯，形成健康的生活方式，发扬体育精神，形成积极进取、乐观开朗的生活态度，提高与专业特点相适应的体育素养。</w:t>
            </w:r>
          </w:p>
        </w:tc>
        <w:tc>
          <w:tcPr>
            <w:tcW w:w="3679"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left"/>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zh-CN" w:eastAsia="zh-CN" w:bidi="zh-CN"/>
              </w:rPr>
              <w:t>体育与健康知识、体育保健卫生、体育医务监督、中国传统体育养生。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9" w:hRule="atLeast"/>
          <w:jc w:val="center"/>
        </w:trPr>
        <w:tc>
          <w:tcPr>
            <w:tcW w:w="523" w:type="dxa"/>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6</w:t>
            </w:r>
          </w:p>
        </w:tc>
        <w:tc>
          <w:tcPr>
            <w:tcW w:w="1045"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大学生心理健康教育</w:t>
            </w:r>
          </w:p>
        </w:tc>
        <w:tc>
          <w:tcPr>
            <w:tcW w:w="567" w:type="dxa"/>
            <w:vAlign w:val="center"/>
          </w:tcPr>
          <w:p>
            <w:pPr>
              <w:jc w:val="center"/>
              <w:rPr>
                <w:rFonts w:hint="eastAsia" w:ascii="宋体" w:hAnsi="宋体" w:eastAsia="宋体" w:cs="宋体"/>
                <w:color w:val="auto"/>
                <w:sz w:val="18"/>
                <w:szCs w:val="18"/>
                <w:lang w:val="en-US"/>
              </w:rPr>
            </w:pPr>
            <w:r>
              <w:rPr>
                <w:rFonts w:hint="eastAsia" w:ascii="宋体" w:hAnsi="宋体" w:eastAsia="宋体" w:cs="宋体"/>
                <w:color w:val="auto"/>
                <w:sz w:val="18"/>
                <w:szCs w:val="18"/>
                <w:lang w:val="en-US"/>
              </w:rPr>
              <w:t>2</w:t>
            </w:r>
          </w:p>
        </w:tc>
        <w:tc>
          <w:tcPr>
            <w:tcW w:w="690" w:type="dxa"/>
            <w:vAlign w:val="center"/>
          </w:tcPr>
          <w:p>
            <w:pPr>
              <w:jc w:val="center"/>
              <w:rPr>
                <w:rFonts w:hint="eastAsia" w:ascii="宋体" w:hAnsi="宋体" w:eastAsia="宋体" w:cs="宋体"/>
                <w:color w:val="auto"/>
                <w:sz w:val="18"/>
                <w:szCs w:val="18"/>
                <w:lang w:val="en-US"/>
              </w:rPr>
            </w:pPr>
            <w:r>
              <w:rPr>
                <w:rFonts w:hint="eastAsia" w:ascii="宋体" w:hAnsi="宋体" w:eastAsia="宋体" w:cs="宋体"/>
                <w:color w:val="auto"/>
                <w:sz w:val="18"/>
                <w:szCs w:val="18"/>
                <w:lang w:val="en-US"/>
              </w:rPr>
              <w:t>32</w:t>
            </w:r>
          </w:p>
        </w:tc>
        <w:tc>
          <w:tcPr>
            <w:tcW w:w="3543"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rPr>
              <w:t>培养学生了解心理健康的标准及意义， 掌握并应用心理健康知识，培养自我认知能力、人际沟通能力、自我调节能 力，增强自我心理保健意识和心理危机预防意识，切实提高心理素质。</w:t>
            </w:r>
          </w:p>
        </w:tc>
        <w:tc>
          <w:tcPr>
            <w:tcW w:w="3679" w:type="dxa"/>
            <w:vAlign w:val="center"/>
          </w:tcPr>
          <w:p>
            <w:pPr>
              <w:jc w:val="left"/>
              <w:rPr>
                <w:rFonts w:hint="eastAsia" w:ascii="宋体" w:hAnsi="宋体" w:eastAsia="宋体" w:cs="宋体"/>
                <w:color w:val="auto"/>
                <w:sz w:val="18"/>
                <w:szCs w:val="18"/>
                <w:lang w:eastAsia="zh-CN"/>
              </w:rPr>
            </w:pPr>
            <w:r>
              <w:rPr>
                <w:rFonts w:hint="eastAsia" w:ascii="宋体" w:hAnsi="宋体" w:eastAsia="宋体" w:cs="宋体"/>
                <w:color w:val="auto"/>
                <w:sz w:val="18"/>
                <w:szCs w:val="18"/>
              </w:rPr>
              <w:t>包括心理健康基础知识，了解自我、发展自我，提高自我心理调适能力，如生涯规划、学习心理、人际交往、情绪管理、压力管理、生命教育能力等，注重培养学生实际应用能力</w:t>
            </w:r>
            <w:r>
              <w:rPr>
                <w:rFonts w:hint="eastAsia" w:ascii="宋体" w:hAnsi="宋体" w:eastAsia="宋体" w:cs="宋体"/>
                <w:color w:val="auto"/>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49" w:hRule="atLeast"/>
          <w:jc w:val="center"/>
        </w:trPr>
        <w:tc>
          <w:tcPr>
            <w:tcW w:w="523"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7</w:t>
            </w:r>
          </w:p>
        </w:tc>
        <w:tc>
          <w:tcPr>
            <w:tcW w:w="1045"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rPr>
              <w:t>职业发展与创新创业教育</w:t>
            </w:r>
          </w:p>
        </w:tc>
        <w:tc>
          <w:tcPr>
            <w:tcW w:w="567"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rPr>
              <w:t>2</w:t>
            </w:r>
          </w:p>
        </w:tc>
        <w:tc>
          <w:tcPr>
            <w:tcW w:w="69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rPr>
              <w:t>32</w:t>
            </w:r>
          </w:p>
        </w:tc>
        <w:tc>
          <w:tcPr>
            <w:tcW w:w="3543" w:type="dxa"/>
            <w:vAlign w:val="center"/>
          </w:tcPr>
          <w:p>
            <w:pPr>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了解生涯规划意义和方法，引导学生认识自我和职业世界，了解职业素养和职业能力要求，了解就业形势和就业创业政策，掌握求职材料和面试技巧，提高依法维权意识，培养学生具备解决职场适应和职业发展实际问题能力。</w:t>
            </w:r>
          </w:p>
        </w:tc>
        <w:tc>
          <w:tcPr>
            <w:tcW w:w="3679" w:type="dxa"/>
            <w:vAlign w:val="center"/>
          </w:tcPr>
          <w:p>
            <w:pPr>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职业生涯规划基本理论、自我认知、认识职业世界、职业生涯规划及大学生涯规划、创业概述、商业计划书撰写、商业路演 PPT、职业素质与职业能力、求职和应聘、劳动者权益、毕业手续办理及人事代理、职场适应等内容。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jc w:val="center"/>
        </w:trPr>
        <w:tc>
          <w:tcPr>
            <w:tcW w:w="523"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8</w:t>
            </w:r>
          </w:p>
        </w:tc>
        <w:tc>
          <w:tcPr>
            <w:tcW w:w="1045"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禁毒与预防艾滋病专题</w:t>
            </w:r>
          </w:p>
        </w:tc>
        <w:tc>
          <w:tcPr>
            <w:tcW w:w="567"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w:t>
            </w:r>
          </w:p>
        </w:tc>
        <w:tc>
          <w:tcPr>
            <w:tcW w:w="69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16</w:t>
            </w:r>
          </w:p>
        </w:tc>
        <w:tc>
          <w:tcPr>
            <w:tcW w:w="3543"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rPr>
              <w:t>宣传国家对艾滋病的最新政策，行为干预措施，令广大</w:t>
            </w:r>
            <w:r>
              <w:rPr>
                <w:rFonts w:hint="eastAsia" w:ascii="宋体" w:hAnsi="宋体" w:eastAsia="宋体" w:cs="宋体"/>
                <w:color w:val="auto"/>
                <w:sz w:val="18"/>
                <w:szCs w:val="18"/>
                <w:lang w:val="en-US" w:eastAsia="zh-CN"/>
              </w:rPr>
              <w:t>学生群体</w:t>
            </w:r>
            <w:r>
              <w:rPr>
                <w:rFonts w:hint="eastAsia" w:ascii="宋体" w:hAnsi="宋体" w:eastAsia="宋体" w:cs="宋体"/>
                <w:color w:val="auto"/>
                <w:sz w:val="18"/>
                <w:szCs w:val="18"/>
              </w:rPr>
              <w:t>自觉履行规定。加强对毒品危害的认识和提高全民禁毒意识；特别是引导青少年了解禁毒知识、认清毒品危害，自觉远离毒品，增强他们防毒、拒毒的意识和能力，预防和减少青少年涉毒违法犯罪，营造有利于青少年健康成长的社会环境。</w:t>
            </w:r>
          </w:p>
        </w:tc>
        <w:tc>
          <w:tcPr>
            <w:tcW w:w="3679" w:type="dxa"/>
            <w:vAlign w:val="center"/>
          </w:tcPr>
          <w:p>
            <w:pPr>
              <w:jc w:val="lef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宣传防艾与禁毒基本知识，消除大家对艾滋病的恐慌和误解，着力提高全民禁毒意识和抵制毒品的能力。</w:t>
            </w:r>
            <w:r>
              <w:rPr>
                <w:rFonts w:hint="eastAsia" w:ascii="宋体" w:hAnsi="宋体" w:eastAsia="宋体" w:cs="宋体"/>
                <w:color w:val="auto"/>
                <w:sz w:val="18"/>
                <w:szCs w:val="18"/>
                <w:lang w:val="en-US" w:eastAsia="zh-CN"/>
              </w:rPr>
              <w:t>毒品的危害；制度、运毒、藏毒、贩毒、吸毒相关法律法规。艾滋病的危害、艾滋病的传播途径、艾滋病的纺织。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6" w:hRule="atLeast"/>
          <w:jc w:val="center"/>
        </w:trPr>
        <w:tc>
          <w:tcPr>
            <w:tcW w:w="523"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9</w:t>
            </w:r>
          </w:p>
        </w:tc>
        <w:tc>
          <w:tcPr>
            <w:tcW w:w="1045"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大学英语</w:t>
            </w:r>
          </w:p>
        </w:tc>
        <w:tc>
          <w:tcPr>
            <w:tcW w:w="567" w:type="dxa"/>
            <w:vAlign w:val="center"/>
          </w:tcPr>
          <w:p>
            <w:pPr>
              <w:jc w:val="center"/>
              <w:rPr>
                <w:rFonts w:hint="eastAsia" w:ascii="宋体" w:hAnsi="宋体" w:eastAsia="宋体" w:cs="宋体"/>
                <w:color w:val="auto"/>
                <w:sz w:val="18"/>
                <w:szCs w:val="18"/>
                <w:lang w:val="en-US"/>
              </w:rPr>
            </w:pPr>
            <w:r>
              <w:rPr>
                <w:rFonts w:hint="eastAsia" w:ascii="宋体" w:hAnsi="宋体" w:eastAsia="宋体" w:cs="宋体"/>
                <w:color w:val="auto"/>
                <w:sz w:val="18"/>
                <w:szCs w:val="18"/>
                <w:lang w:val="en-US"/>
              </w:rPr>
              <w:t>6</w:t>
            </w:r>
          </w:p>
        </w:tc>
        <w:tc>
          <w:tcPr>
            <w:tcW w:w="690" w:type="dxa"/>
            <w:vAlign w:val="center"/>
          </w:tcPr>
          <w:p>
            <w:pPr>
              <w:jc w:val="center"/>
              <w:rPr>
                <w:rFonts w:hint="eastAsia" w:ascii="宋体" w:hAnsi="宋体" w:eastAsia="宋体" w:cs="宋体"/>
                <w:color w:val="auto"/>
                <w:sz w:val="18"/>
                <w:szCs w:val="18"/>
                <w:lang w:val="en-US"/>
              </w:rPr>
            </w:pPr>
            <w:r>
              <w:rPr>
                <w:rFonts w:hint="eastAsia" w:ascii="宋体" w:hAnsi="宋体" w:eastAsia="宋体" w:cs="宋体"/>
                <w:color w:val="auto"/>
                <w:sz w:val="18"/>
                <w:szCs w:val="18"/>
                <w:lang w:val="en-US"/>
              </w:rPr>
              <w:t>96</w:t>
            </w:r>
          </w:p>
        </w:tc>
        <w:tc>
          <w:tcPr>
            <w:tcW w:w="3543"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rPr>
              <w:t>培养学生阅读英文资料获取前沿信息的能力、涉外口头交际和书面表达能力、跨文化交流能力、学生未来职业发展和英语终身学习能力。</w:t>
            </w:r>
          </w:p>
        </w:tc>
        <w:tc>
          <w:tcPr>
            <w:tcW w:w="3679"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rPr>
              <w:t>包括学习、生活、工作等多个方面的主题单元，通过视听说、精读、翻译写作等模块，全面提高学生听、说、读、写、译各方面英语能力。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jc w:val="center"/>
        </w:trPr>
        <w:tc>
          <w:tcPr>
            <w:tcW w:w="523"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10</w:t>
            </w:r>
          </w:p>
        </w:tc>
        <w:tc>
          <w:tcPr>
            <w:tcW w:w="1045"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大学语文</w:t>
            </w:r>
          </w:p>
        </w:tc>
        <w:tc>
          <w:tcPr>
            <w:tcW w:w="567" w:type="dxa"/>
            <w:vAlign w:val="center"/>
          </w:tcPr>
          <w:p>
            <w:pPr>
              <w:jc w:val="center"/>
              <w:rPr>
                <w:rFonts w:hint="eastAsia" w:ascii="宋体" w:hAnsi="宋体" w:eastAsia="宋体" w:cs="宋体"/>
                <w:color w:val="auto"/>
                <w:sz w:val="18"/>
                <w:szCs w:val="18"/>
                <w:lang w:val="en-US"/>
              </w:rPr>
            </w:pPr>
            <w:r>
              <w:rPr>
                <w:rFonts w:hint="eastAsia" w:ascii="宋体" w:hAnsi="宋体" w:eastAsia="宋体" w:cs="宋体"/>
                <w:color w:val="auto"/>
                <w:sz w:val="18"/>
                <w:szCs w:val="18"/>
                <w:lang w:val="en-US"/>
              </w:rPr>
              <w:t>6</w:t>
            </w:r>
          </w:p>
        </w:tc>
        <w:tc>
          <w:tcPr>
            <w:tcW w:w="690" w:type="dxa"/>
            <w:vAlign w:val="center"/>
          </w:tcPr>
          <w:p>
            <w:pPr>
              <w:jc w:val="center"/>
              <w:rPr>
                <w:rFonts w:hint="eastAsia" w:ascii="宋体" w:hAnsi="宋体" w:eastAsia="宋体" w:cs="宋体"/>
                <w:color w:val="auto"/>
                <w:sz w:val="18"/>
                <w:szCs w:val="18"/>
                <w:lang w:val="en-US"/>
              </w:rPr>
            </w:pPr>
            <w:r>
              <w:rPr>
                <w:rFonts w:hint="eastAsia" w:ascii="宋体" w:hAnsi="宋体" w:eastAsia="宋体" w:cs="宋体"/>
                <w:color w:val="auto"/>
                <w:sz w:val="18"/>
                <w:szCs w:val="18"/>
                <w:lang w:val="en-US"/>
              </w:rPr>
              <w:t>96</w:t>
            </w:r>
          </w:p>
        </w:tc>
        <w:tc>
          <w:tcPr>
            <w:tcW w:w="3543"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rPr>
              <w:t>培养学生阅读和理解文学作品的能力， 提高学生文学鉴赏水平和文化修养，提升写作能力，以适应学习和工作的需要。</w:t>
            </w:r>
          </w:p>
        </w:tc>
        <w:tc>
          <w:tcPr>
            <w:tcW w:w="3679"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rPr>
              <w:t>散文阅读与欣赏；诗歌阅读与欣赏；小说阅读与欣赏；影视与戏剧欣赏；语言表达能力与技巧；实用写作训练。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2" w:hRule="atLeast"/>
          <w:jc w:val="center"/>
        </w:trPr>
        <w:tc>
          <w:tcPr>
            <w:tcW w:w="523"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11</w:t>
            </w:r>
          </w:p>
        </w:tc>
        <w:tc>
          <w:tcPr>
            <w:tcW w:w="1045"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lang w:val="en-US"/>
              </w:rPr>
              <w:t>计算机应用基础</w:t>
            </w:r>
          </w:p>
        </w:tc>
        <w:tc>
          <w:tcPr>
            <w:tcW w:w="567" w:type="dxa"/>
            <w:vAlign w:val="center"/>
          </w:tcPr>
          <w:p>
            <w:pPr>
              <w:jc w:val="center"/>
              <w:rPr>
                <w:rFonts w:hint="eastAsia" w:ascii="宋体" w:hAnsi="宋体" w:eastAsia="宋体" w:cs="宋体"/>
                <w:color w:val="auto"/>
                <w:sz w:val="18"/>
                <w:szCs w:val="18"/>
                <w:lang w:val="en-US"/>
              </w:rPr>
            </w:pPr>
            <w:r>
              <w:rPr>
                <w:rFonts w:hint="eastAsia" w:ascii="宋体" w:hAnsi="宋体" w:eastAsia="宋体" w:cs="宋体"/>
                <w:color w:val="auto"/>
                <w:sz w:val="18"/>
                <w:szCs w:val="18"/>
                <w:lang w:val="en-US"/>
              </w:rPr>
              <w:t>4</w:t>
            </w:r>
          </w:p>
        </w:tc>
        <w:tc>
          <w:tcPr>
            <w:tcW w:w="690" w:type="dxa"/>
            <w:vAlign w:val="center"/>
          </w:tcPr>
          <w:p>
            <w:pPr>
              <w:jc w:val="center"/>
              <w:rPr>
                <w:rFonts w:hint="eastAsia" w:ascii="宋体" w:hAnsi="宋体" w:eastAsia="宋体" w:cs="宋体"/>
                <w:color w:val="auto"/>
                <w:sz w:val="18"/>
                <w:szCs w:val="18"/>
                <w:lang w:val="en-US"/>
              </w:rPr>
            </w:pPr>
            <w:r>
              <w:rPr>
                <w:rFonts w:hint="eastAsia" w:ascii="宋体" w:hAnsi="宋体" w:eastAsia="宋体" w:cs="宋体"/>
                <w:color w:val="auto"/>
                <w:sz w:val="18"/>
                <w:szCs w:val="18"/>
                <w:lang w:val="en-US"/>
              </w:rPr>
              <w:t>64</w:t>
            </w:r>
          </w:p>
        </w:tc>
        <w:tc>
          <w:tcPr>
            <w:tcW w:w="3543"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rPr>
              <w:t>使学生理解计算机系统与计算环境基本原理，理解信息获取、数据管理与处理分析、信息表达与发布等知识和理论。具备使用应用工具软件获取信息、处理数据、解决问题的能力，形成分析和解决问题的计算思维与素养。</w:t>
            </w:r>
          </w:p>
        </w:tc>
        <w:tc>
          <w:tcPr>
            <w:tcW w:w="3679"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rPr>
              <w:t>包括计算机与信息社会、计算机系统、计算机网络、信息安全、数据库基础、办公软件、大数据云计算、人工智能等计算机新技术。本课程注重理论与实践相结合，同时兼顾计算机应用领域的前沿知识，采用理论教学与实验教学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77" w:hRule="atLeast"/>
          <w:jc w:val="center"/>
        </w:trPr>
        <w:tc>
          <w:tcPr>
            <w:tcW w:w="523"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12</w:t>
            </w:r>
          </w:p>
        </w:tc>
        <w:tc>
          <w:tcPr>
            <w:tcW w:w="10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民族教育专题</w:t>
            </w:r>
          </w:p>
        </w:tc>
        <w:tc>
          <w:tcPr>
            <w:tcW w:w="567"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w:t>
            </w:r>
          </w:p>
        </w:tc>
        <w:tc>
          <w:tcPr>
            <w:tcW w:w="690"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16</w:t>
            </w:r>
          </w:p>
        </w:tc>
        <w:tc>
          <w:tcPr>
            <w:tcW w:w="3543" w:type="dxa"/>
            <w:vAlign w:val="center"/>
          </w:tcPr>
          <w:p>
            <w:pPr>
              <w:jc w:val="lef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通过民族教育增强学生的对各民族的认识，让少数民族的孩子进入主流社会，让各民族同学和谐相处。通过教育培养大批民族知识群，通过他们来贯彻党的路线方针，传播科学技术知识，传承民族文化，从而保持边疆稳定和民族团结。</w:t>
            </w:r>
          </w:p>
        </w:tc>
        <w:tc>
          <w:tcPr>
            <w:tcW w:w="3679" w:type="dxa"/>
            <w:vAlign w:val="center"/>
          </w:tcPr>
          <w:p>
            <w:pPr>
              <w:jc w:val="lef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彝族概况和彝族文化、彝族风俗。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6" w:hRule="atLeast"/>
          <w:jc w:val="center"/>
        </w:trPr>
        <w:tc>
          <w:tcPr>
            <w:tcW w:w="523" w:type="dxa"/>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rPr>
              <w:t>1</w:t>
            </w:r>
            <w:r>
              <w:rPr>
                <w:rFonts w:hint="eastAsia" w:ascii="宋体" w:hAnsi="宋体" w:eastAsia="宋体" w:cs="宋体"/>
                <w:color w:val="auto"/>
                <w:sz w:val="18"/>
                <w:szCs w:val="18"/>
                <w:lang w:val="en-US" w:eastAsia="zh-CN"/>
              </w:rPr>
              <w:t>3</w:t>
            </w:r>
          </w:p>
        </w:tc>
        <w:tc>
          <w:tcPr>
            <w:tcW w:w="10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中华传统文化</w:t>
            </w:r>
          </w:p>
        </w:tc>
        <w:tc>
          <w:tcPr>
            <w:tcW w:w="567"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w:t>
            </w:r>
          </w:p>
        </w:tc>
        <w:tc>
          <w:tcPr>
            <w:tcW w:w="69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16</w:t>
            </w:r>
          </w:p>
        </w:tc>
        <w:tc>
          <w:tcPr>
            <w:tcW w:w="3543" w:type="dxa"/>
            <w:vAlign w:val="center"/>
          </w:tcPr>
          <w:p>
            <w:pPr>
              <w:jc w:val="lef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通过对中华传统文化的学习，了解中华传统文化知识，增强民族自豪感与使命感与归属感。</w:t>
            </w:r>
          </w:p>
        </w:tc>
        <w:tc>
          <w:tcPr>
            <w:tcW w:w="3679" w:type="dxa"/>
            <w:vAlign w:val="center"/>
          </w:tcPr>
          <w:p>
            <w:pPr>
              <w:jc w:val="lef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诸子百家思想、传统文学、传统节日、建筑、中国戏剧、民间工艺、中华武术、地域文化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6" w:hRule="atLeast"/>
          <w:jc w:val="center"/>
        </w:trPr>
        <w:tc>
          <w:tcPr>
            <w:tcW w:w="523"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14</w:t>
            </w:r>
          </w:p>
        </w:tc>
        <w:tc>
          <w:tcPr>
            <w:tcW w:w="10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国家安全教育</w:t>
            </w:r>
          </w:p>
        </w:tc>
        <w:tc>
          <w:tcPr>
            <w:tcW w:w="567"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w:t>
            </w:r>
          </w:p>
        </w:tc>
        <w:tc>
          <w:tcPr>
            <w:tcW w:w="69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16</w:t>
            </w:r>
          </w:p>
        </w:tc>
        <w:tc>
          <w:tcPr>
            <w:tcW w:w="3543"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rPr>
              <w:t>通过多种形式开展国家安全宣传教育活动，增强</w:t>
            </w:r>
            <w:r>
              <w:rPr>
                <w:rFonts w:hint="eastAsia" w:ascii="宋体" w:hAnsi="宋体" w:eastAsia="宋体" w:cs="宋体"/>
                <w:color w:val="auto"/>
                <w:sz w:val="18"/>
                <w:szCs w:val="18"/>
                <w:lang w:val="en-US" w:eastAsia="zh-CN"/>
              </w:rPr>
              <w:t>学生</w:t>
            </w:r>
            <w:r>
              <w:rPr>
                <w:rFonts w:hint="eastAsia" w:ascii="宋体" w:hAnsi="宋体" w:eastAsia="宋体" w:cs="宋体"/>
                <w:color w:val="auto"/>
                <w:sz w:val="18"/>
                <w:szCs w:val="18"/>
              </w:rPr>
              <w:t>国家安全意识。</w:t>
            </w:r>
          </w:p>
        </w:tc>
        <w:tc>
          <w:tcPr>
            <w:tcW w:w="3679"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rPr>
              <w:t>政治安全、国土安全、军事安全、经济安全、文化安全、社会安全、科技安全、信息安全、生态安全、资源安全、核安全等。</w:t>
            </w:r>
          </w:p>
        </w:tc>
      </w:tr>
    </w:tbl>
    <w:p>
      <w:pPr>
        <w:pStyle w:val="5"/>
        <w:bidi w:val="0"/>
        <w:rPr>
          <w:color w:val="auto"/>
        </w:rPr>
      </w:pPr>
      <w:bookmarkStart w:id="28" w:name="_Toc26163"/>
      <w:bookmarkStart w:id="29" w:name="_Toc17951"/>
      <w:r>
        <w:rPr>
          <w:rFonts w:hint="eastAsia"/>
          <w:color w:val="auto"/>
          <w:lang w:eastAsia="zh-CN"/>
        </w:rPr>
        <w:t>（</w:t>
      </w:r>
      <w:r>
        <w:rPr>
          <w:rFonts w:hint="eastAsia"/>
          <w:color w:val="auto"/>
          <w:lang w:val="en-US" w:eastAsia="zh-CN"/>
        </w:rPr>
        <w:t>二）</w:t>
      </w:r>
      <w:r>
        <w:rPr>
          <w:rFonts w:hint="eastAsia"/>
          <w:color w:val="auto"/>
        </w:rPr>
        <w:t>专业（技能）课程概述</w:t>
      </w:r>
      <w:bookmarkEnd w:id="28"/>
      <w:bookmarkEnd w:id="29"/>
      <w:r>
        <w:rPr>
          <w:rFonts w:hint="eastAsia"/>
          <w:color w:val="auto"/>
        </w:rPr>
        <w:t xml:space="preserve"> </w:t>
      </w:r>
    </w:p>
    <w:p>
      <w:pPr>
        <w:pStyle w:val="7"/>
        <w:bidi w:val="0"/>
        <w:rPr>
          <w:color w:val="auto"/>
        </w:rPr>
      </w:pPr>
      <w:bookmarkStart w:id="30" w:name="_Toc3653"/>
      <w:r>
        <w:rPr>
          <w:rFonts w:hint="eastAsia"/>
          <w:color w:val="auto"/>
        </w:rPr>
        <w:t xml:space="preserve">表3 </w:t>
      </w:r>
      <w:r>
        <w:rPr>
          <w:rFonts w:hint="eastAsia"/>
          <w:color w:val="auto"/>
          <w:lang w:eastAsia="zh-CN"/>
        </w:rPr>
        <w:t>智慧健康养老服务与管理专业</w:t>
      </w:r>
      <w:r>
        <w:rPr>
          <w:rFonts w:hint="eastAsia"/>
          <w:color w:val="auto"/>
        </w:rPr>
        <w:t>专业课程概述表</w:t>
      </w:r>
      <w:bookmarkEnd w:id="30"/>
    </w:p>
    <w:tbl>
      <w:tblPr>
        <w:tblStyle w:val="16"/>
        <w:tblW w:w="1007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45"/>
        <w:gridCol w:w="1050"/>
        <w:gridCol w:w="543"/>
        <w:gridCol w:w="680"/>
        <w:gridCol w:w="3564"/>
        <w:gridCol w:w="36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jc w:val="center"/>
        </w:trPr>
        <w:tc>
          <w:tcPr>
            <w:tcW w:w="545" w:type="dxa"/>
            <w:vAlign w:val="center"/>
          </w:tcPr>
          <w:p>
            <w:pPr>
              <w:jc w:val="center"/>
              <w:rPr>
                <w:rFonts w:hint="eastAsia" w:ascii="宋体" w:hAnsi="宋体" w:eastAsia="宋体" w:cs="宋体"/>
                <w:b/>
                <w:bCs/>
                <w:color w:val="auto"/>
                <w:sz w:val="18"/>
                <w:szCs w:val="18"/>
                <w:lang w:val="zh-CN"/>
              </w:rPr>
            </w:pPr>
            <w:r>
              <w:rPr>
                <w:rFonts w:hint="eastAsia" w:ascii="宋体" w:hAnsi="宋体" w:eastAsia="宋体" w:cs="宋体"/>
                <w:b/>
                <w:bCs/>
                <w:color w:val="auto"/>
                <w:sz w:val="18"/>
                <w:szCs w:val="18"/>
              </w:rPr>
              <w:t>序号</w:t>
            </w:r>
          </w:p>
        </w:tc>
        <w:tc>
          <w:tcPr>
            <w:tcW w:w="1050" w:type="dxa"/>
            <w:vAlign w:val="center"/>
          </w:tcPr>
          <w:p>
            <w:pPr>
              <w:jc w:val="center"/>
              <w:rPr>
                <w:rFonts w:hint="eastAsia" w:ascii="宋体" w:hAnsi="宋体" w:eastAsia="宋体" w:cs="宋体"/>
                <w:b/>
                <w:bCs/>
                <w:color w:val="auto"/>
                <w:sz w:val="18"/>
                <w:szCs w:val="18"/>
                <w:lang w:val="zh-CN"/>
              </w:rPr>
            </w:pPr>
            <w:r>
              <w:rPr>
                <w:rFonts w:hint="eastAsia" w:ascii="宋体" w:hAnsi="宋体" w:eastAsia="宋体" w:cs="宋体"/>
                <w:b/>
                <w:bCs/>
                <w:color w:val="auto"/>
                <w:sz w:val="18"/>
                <w:szCs w:val="18"/>
              </w:rPr>
              <w:t>课程名称</w:t>
            </w:r>
          </w:p>
        </w:tc>
        <w:tc>
          <w:tcPr>
            <w:tcW w:w="543" w:type="dxa"/>
            <w:vAlign w:val="center"/>
          </w:tcPr>
          <w:p>
            <w:pPr>
              <w:autoSpaceDE w:val="0"/>
              <w:autoSpaceDN w:val="0"/>
              <w:adjustRightInd w:val="0"/>
              <w:snapToGrid w:val="0"/>
              <w:jc w:val="center"/>
              <w:rPr>
                <w:rFonts w:hint="eastAsia" w:ascii="宋体" w:hAnsi="宋体" w:eastAsia="宋体" w:cs="宋体"/>
                <w:b/>
                <w:bCs/>
                <w:color w:val="auto"/>
                <w:sz w:val="18"/>
                <w:szCs w:val="18"/>
                <w:lang w:val="zh-CN" w:bidi="zh-CN"/>
              </w:rPr>
            </w:pPr>
            <w:r>
              <w:rPr>
                <w:rFonts w:hint="eastAsia" w:ascii="宋体" w:hAnsi="宋体" w:eastAsia="宋体" w:cs="宋体"/>
                <w:b/>
                <w:bCs/>
                <w:color w:val="auto"/>
                <w:sz w:val="18"/>
                <w:szCs w:val="18"/>
                <w:lang w:val="zh-CN" w:bidi="zh-CN"/>
              </w:rPr>
              <w:t>学分</w:t>
            </w:r>
          </w:p>
        </w:tc>
        <w:tc>
          <w:tcPr>
            <w:tcW w:w="680" w:type="dxa"/>
            <w:vAlign w:val="center"/>
          </w:tcPr>
          <w:p>
            <w:pPr>
              <w:autoSpaceDE w:val="0"/>
              <w:autoSpaceDN w:val="0"/>
              <w:adjustRightInd w:val="0"/>
              <w:snapToGrid w:val="0"/>
              <w:jc w:val="center"/>
              <w:rPr>
                <w:rFonts w:hint="eastAsia" w:ascii="宋体" w:hAnsi="宋体" w:eastAsia="宋体" w:cs="宋体"/>
                <w:b/>
                <w:bCs/>
                <w:color w:val="auto"/>
                <w:sz w:val="18"/>
                <w:szCs w:val="18"/>
                <w:lang w:val="zh-CN" w:bidi="zh-CN"/>
              </w:rPr>
            </w:pPr>
            <w:r>
              <w:rPr>
                <w:rFonts w:hint="eastAsia" w:ascii="宋体" w:hAnsi="宋体" w:eastAsia="宋体" w:cs="宋体"/>
                <w:b/>
                <w:bCs/>
                <w:color w:val="auto"/>
                <w:sz w:val="18"/>
                <w:szCs w:val="18"/>
                <w:lang w:val="zh-CN" w:bidi="zh-CN"/>
              </w:rPr>
              <w:t>学时</w:t>
            </w:r>
          </w:p>
        </w:tc>
        <w:tc>
          <w:tcPr>
            <w:tcW w:w="3564" w:type="dxa"/>
            <w:vAlign w:val="center"/>
          </w:tcPr>
          <w:p>
            <w:pPr>
              <w:jc w:val="center"/>
              <w:rPr>
                <w:rFonts w:hint="eastAsia" w:ascii="宋体" w:hAnsi="宋体" w:eastAsia="宋体" w:cs="宋体"/>
                <w:b/>
                <w:bCs/>
                <w:color w:val="auto"/>
                <w:sz w:val="18"/>
                <w:szCs w:val="18"/>
                <w:lang w:val="zh-CN"/>
              </w:rPr>
            </w:pPr>
            <w:r>
              <w:rPr>
                <w:rFonts w:hint="eastAsia" w:ascii="宋体" w:hAnsi="宋体" w:eastAsia="宋体" w:cs="宋体"/>
                <w:b/>
                <w:bCs/>
                <w:color w:val="auto"/>
                <w:sz w:val="18"/>
                <w:szCs w:val="18"/>
              </w:rPr>
              <w:t>课程目标</w:t>
            </w:r>
          </w:p>
        </w:tc>
        <w:tc>
          <w:tcPr>
            <w:tcW w:w="3692" w:type="dxa"/>
            <w:vAlign w:val="center"/>
          </w:tcPr>
          <w:p>
            <w:pPr>
              <w:jc w:val="center"/>
              <w:rPr>
                <w:rFonts w:hint="eastAsia" w:ascii="宋体" w:hAnsi="宋体" w:eastAsia="宋体" w:cs="宋体"/>
                <w:b/>
                <w:bCs/>
                <w:color w:val="auto"/>
                <w:sz w:val="18"/>
                <w:szCs w:val="18"/>
                <w:lang w:val="zh-CN"/>
              </w:rPr>
            </w:pPr>
            <w:r>
              <w:rPr>
                <w:rFonts w:hint="eastAsia" w:ascii="宋体" w:hAnsi="宋体" w:eastAsia="宋体" w:cs="宋体"/>
                <w:b/>
                <w:bCs/>
                <w:color w:val="auto"/>
                <w:sz w:val="18"/>
                <w:szCs w:val="18"/>
              </w:rPr>
              <w:t>主要内容和教学要求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6"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w:t>
            </w:r>
          </w:p>
        </w:tc>
        <w:tc>
          <w:tcPr>
            <w:tcW w:w="1050"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普通话</w:t>
            </w:r>
          </w:p>
        </w:tc>
        <w:tc>
          <w:tcPr>
            <w:tcW w:w="543"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4</w:t>
            </w:r>
          </w:p>
        </w:tc>
        <w:tc>
          <w:tcPr>
            <w:tcW w:w="680"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64</w:t>
            </w:r>
          </w:p>
        </w:tc>
        <w:tc>
          <w:tcPr>
            <w:tcW w:w="3564" w:type="dxa"/>
            <w:vAlign w:val="center"/>
          </w:tcPr>
          <w:p>
            <w:pPr>
              <w:jc w:val="lef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掌握良好的发音规则和发音技巧，能够用普通话进行沟通、交流、演讲。通过普通话考试，取得二级乙等以上证书。</w:t>
            </w:r>
          </w:p>
        </w:tc>
        <w:tc>
          <w:tcPr>
            <w:tcW w:w="3692" w:type="dxa"/>
            <w:vAlign w:val="center"/>
          </w:tcPr>
          <w:p>
            <w:pPr>
              <w:jc w:val="lef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单音节词语发音、多音节词语发音、短文阅读、朗诵与演讲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24"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w:t>
            </w:r>
          </w:p>
        </w:tc>
        <w:tc>
          <w:tcPr>
            <w:tcW w:w="105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管理学基础</w:t>
            </w:r>
          </w:p>
        </w:tc>
        <w:tc>
          <w:tcPr>
            <w:tcW w:w="543"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2</w:t>
            </w:r>
          </w:p>
        </w:tc>
        <w:tc>
          <w:tcPr>
            <w:tcW w:w="68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32</w:t>
            </w:r>
          </w:p>
        </w:tc>
        <w:tc>
          <w:tcPr>
            <w:tcW w:w="3564" w:type="dxa"/>
            <w:vAlign w:val="center"/>
          </w:tcPr>
          <w:p>
            <w:pPr>
              <w:autoSpaceDE w:val="0"/>
              <w:autoSpaceDN w:val="0"/>
              <w:adjustRightInd w:val="0"/>
              <w:snapToGrid w:val="0"/>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掌握管理的概念、属性，管理主体、管理职能、管理思想和管理理论等基础理论知识，着重培养学生的计划与决策的能力、组织与人事的能力、领导与沟通的能力和控制与绩效考核的能力等四大关键能力，为进一步学习专业课和为日后的实际管理工作奠定基础。</w:t>
            </w:r>
          </w:p>
        </w:tc>
        <w:tc>
          <w:tcPr>
            <w:tcW w:w="3692" w:type="dxa"/>
            <w:vAlign w:val="center"/>
          </w:tcPr>
          <w:p>
            <w:pPr>
              <w:autoSpaceDE w:val="0"/>
              <w:autoSpaceDN w:val="0"/>
              <w:adjustRightInd w:val="0"/>
              <w:snapToGrid w:val="0"/>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管理概述、计划与决策、组织：机构和人员、领导：指挥与激励、沟通与合作、控制：监控与评价等内容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3</w:t>
            </w:r>
          </w:p>
        </w:tc>
        <w:tc>
          <w:tcPr>
            <w:tcW w:w="1050" w:type="dxa"/>
            <w:vAlign w:val="center"/>
          </w:tcPr>
          <w:p>
            <w:pPr>
              <w:jc w:val="center"/>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老年人体生理学</w:t>
            </w:r>
          </w:p>
        </w:tc>
        <w:tc>
          <w:tcPr>
            <w:tcW w:w="543"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2</w:t>
            </w:r>
          </w:p>
        </w:tc>
        <w:tc>
          <w:tcPr>
            <w:tcW w:w="68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32</w:t>
            </w:r>
          </w:p>
        </w:tc>
        <w:tc>
          <w:tcPr>
            <w:tcW w:w="3564" w:type="dxa"/>
            <w:vAlign w:val="center"/>
          </w:tcPr>
          <w:p>
            <w:pPr>
              <w:jc w:val="left"/>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理解和掌握人体各器官系统的正常形态结构特征、位置与毗邻、生长发育规律及其功能意义，正确理解人体的生理和病理发展过程，正确判断人体的正常与异常，鉴别生理与病理状态，同时兼顾相关职业资格证书考试需要，构建较为完整的人体结构和功能体系。</w:t>
            </w:r>
          </w:p>
        </w:tc>
        <w:tc>
          <w:tcPr>
            <w:tcW w:w="3692" w:type="dxa"/>
            <w:vAlign w:val="center"/>
          </w:tcPr>
          <w:p>
            <w:pPr>
              <w:jc w:val="left"/>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按人体的器官功能系统（如运动、消 化、呼吸、泌尿、生殖、感觉、神经和内分泌系统等）并结合组织胚胎学、生理病理学等阐述正常人体器官位置、毗邻、形态、结构，并促使学生正确运用本课程的专业知识和术语。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8"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4</w:t>
            </w:r>
          </w:p>
        </w:tc>
        <w:tc>
          <w:tcPr>
            <w:tcW w:w="105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老年服务与管理概论</w:t>
            </w:r>
          </w:p>
        </w:tc>
        <w:tc>
          <w:tcPr>
            <w:tcW w:w="543"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2</w:t>
            </w:r>
          </w:p>
        </w:tc>
        <w:tc>
          <w:tcPr>
            <w:tcW w:w="68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32</w:t>
            </w:r>
          </w:p>
        </w:tc>
        <w:tc>
          <w:tcPr>
            <w:tcW w:w="3564" w:type="dxa"/>
            <w:vAlign w:val="center"/>
          </w:tcPr>
          <w:p>
            <w:pPr>
              <w:jc w:val="left"/>
              <w:rPr>
                <w:rFonts w:hint="eastAsia" w:ascii="宋体" w:hAnsi="宋体" w:eastAsia="宋体" w:cs="宋体"/>
                <w:color w:val="auto"/>
                <w:sz w:val="18"/>
                <w:szCs w:val="18"/>
                <w:lang w:val="en-US"/>
              </w:rPr>
            </w:pPr>
            <w:r>
              <w:rPr>
                <w:rFonts w:hint="eastAsia" w:ascii="宋体" w:hAnsi="宋体" w:eastAsia="宋体" w:cs="宋体"/>
                <w:color w:val="auto"/>
                <w:sz w:val="18"/>
                <w:szCs w:val="18"/>
                <w:lang w:val="en-US" w:eastAsia="zh-CN"/>
              </w:rPr>
              <w:t>通过对老年服务与管理概论的学习，了解和掌握老年服务与管理专业的兴起与概述。</w:t>
            </w:r>
          </w:p>
        </w:tc>
        <w:tc>
          <w:tcPr>
            <w:tcW w:w="3692"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老年健康服务、老年生活服务、老龄化社会、老龄产业等；国内外老年服务与管理的现状与发展。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1"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5</w:t>
            </w:r>
          </w:p>
        </w:tc>
        <w:tc>
          <w:tcPr>
            <w:tcW w:w="1050" w:type="dxa"/>
            <w:vAlign w:val="center"/>
          </w:tcPr>
          <w:p>
            <w:pPr>
              <w:jc w:val="center"/>
              <w:rPr>
                <w:rFonts w:hint="eastAsia" w:ascii="宋体" w:hAnsi="宋体" w:eastAsia="宋体" w:cs="宋体"/>
                <w:color w:val="auto"/>
                <w:kern w:val="2"/>
                <w:sz w:val="18"/>
                <w:szCs w:val="18"/>
                <w:highlight w:val="yellow"/>
                <w:lang w:val="en-US" w:eastAsia="zh-CN" w:bidi="ar-SA"/>
              </w:rPr>
            </w:pPr>
            <w:r>
              <w:rPr>
                <w:rFonts w:hint="eastAsia" w:ascii="宋体" w:hAnsi="宋体" w:eastAsia="宋体" w:cs="宋体"/>
                <w:color w:val="auto"/>
                <w:sz w:val="18"/>
                <w:szCs w:val="18"/>
                <w:highlight w:val="none"/>
                <w:lang w:val="en-US" w:eastAsia="zh-CN"/>
              </w:rPr>
              <w:t>老年沟通与服务礼仪</w:t>
            </w:r>
          </w:p>
        </w:tc>
        <w:tc>
          <w:tcPr>
            <w:tcW w:w="543"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2</w:t>
            </w:r>
          </w:p>
        </w:tc>
        <w:tc>
          <w:tcPr>
            <w:tcW w:w="68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32</w:t>
            </w:r>
          </w:p>
        </w:tc>
        <w:tc>
          <w:tcPr>
            <w:tcW w:w="3564" w:type="dxa"/>
            <w:vAlign w:val="center"/>
          </w:tcPr>
          <w:p>
            <w:pPr>
              <w:jc w:val="left"/>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掌握规范护理工作中的礼仪行为，以人文素养理论思想为指导，着力培养学生的职业道德和人文关怀精神，提高沟通能力和职业岗位竞争力。</w:t>
            </w:r>
          </w:p>
        </w:tc>
        <w:tc>
          <w:tcPr>
            <w:tcW w:w="3692" w:type="dxa"/>
            <w:vAlign w:val="center"/>
          </w:tcPr>
          <w:p>
            <w:pPr>
              <w:jc w:val="left"/>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包括仪态礼仪、仪容礼仪、服饰礼仪、礼仪在护理工作中的应用、跨文化护理礼仪、护理人际关系、语言沟通、非语言沟通、护患沟通等。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1" w:hRule="atLeast"/>
          <w:jc w:val="center"/>
        </w:trPr>
        <w:tc>
          <w:tcPr>
            <w:tcW w:w="545" w:type="dxa"/>
            <w:vAlign w:val="center"/>
          </w:tcPr>
          <w:p>
            <w:pPr>
              <w:jc w:val="center"/>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en-US" w:eastAsia="zh-CN"/>
              </w:rPr>
              <w:t>6</w:t>
            </w:r>
          </w:p>
        </w:tc>
        <w:tc>
          <w:tcPr>
            <w:tcW w:w="1050" w:type="dxa"/>
            <w:vAlign w:val="center"/>
          </w:tcPr>
          <w:p>
            <w:pPr>
              <w:jc w:val="center"/>
              <w:rPr>
                <w:rFonts w:hint="eastAsia" w:ascii="宋体" w:hAnsi="宋体" w:eastAsia="宋体" w:cs="宋体"/>
                <w:color w:val="auto"/>
                <w:kern w:val="2"/>
                <w:sz w:val="18"/>
                <w:szCs w:val="18"/>
                <w:highlight w:val="yellow"/>
                <w:lang w:val="en-US" w:eastAsia="zh-CN" w:bidi="ar-SA"/>
              </w:rPr>
            </w:pPr>
            <w:r>
              <w:rPr>
                <w:rFonts w:hint="eastAsia" w:ascii="宋体" w:hAnsi="宋体" w:eastAsia="宋体" w:cs="宋体"/>
                <w:color w:val="auto"/>
                <w:kern w:val="0"/>
                <w:sz w:val="18"/>
                <w:szCs w:val="18"/>
                <w:highlight w:val="none"/>
                <w:lang w:val="en-US" w:eastAsia="zh-CN" w:bidi="ar"/>
              </w:rPr>
              <w:t>老年</w:t>
            </w:r>
            <w:r>
              <w:rPr>
                <w:rFonts w:hint="eastAsia" w:ascii="宋体" w:hAnsi="宋体" w:eastAsia="宋体" w:cs="宋体"/>
                <w:color w:val="auto"/>
                <w:kern w:val="0"/>
                <w:sz w:val="18"/>
                <w:szCs w:val="18"/>
                <w:highlight w:val="none"/>
                <w:lang w:bidi="ar"/>
              </w:rPr>
              <w:t>健康</w:t>
            </w:r>
            <w:r>
              <w:rPr>
                <w:rFonts w:hint="eastAsia" w:ascii="宋体" w:hAnsi="宋体" w:eastAsia="宋体" w:cs="宋体"/>
                <w:color w:val="auto"/>
                <w:kern w:val="0"/>
                <w:sz w:val="18"/>
                <w:szCs w:val="18"/>
                <w:highlight w:val="none"/>
                <w:lang w:val="en-US" w:eastAsia="zh-CN" w:bidi="ar"/>
              </w:rPr>
              <w:t>评估</w:t>
            </w:r>
          </w:p>
        </w:tc>
        <w:tc>
          <w:tcPr>
            <w:tcW w:w="543"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2</w:t>
            </w:r>
          </w:p>
        </w:tc>
        <w:tc>
          <w:tcPr>
            <w:tcW w:w="68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32</w:t>
            </w:r>
          </w:p>
        </w:tc>
        <w:tc>
          <w:tcPr>
            <w:tcW w:w="3564" w:type="dxa"/>
            <w:vAlign w:val="center"/>
          </w:tcPr>
          <w:p>
            <w:pPr>
              <w:jc w:val="left"/>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正确阐述老年人生理、心理、社会各方面的衰退性变化及评估的方法；掌握老年人日常生活护理的各项技能；掌握老年人常见疾病的护理诊断、常见护理问题和护理措施</w:t>
            </w:r>
            <w:r>
              <w:rPr>
                <w:rFonts w:hint="eastAsia" w:ascii="宋体" w:hAnsi="宋体" w:eastAsia="宋体" w:cs="宋体"/>
                <w:color w:val="auto"/>
                <w:sz w:val="18"/>
                <w:szCs w:val="18"/>
                <w:lang w:val="en-US" w:eastAsia="zh-CN"/>
              </w:rPr>
              <w:t>。</w:t>
            </w:r>
          </w:p>
        </w:tc>
        <w:tc>
          <w:tcPr>
            <w:tcW w:w="3692" w:type="dxa"/>
            <w:vAlign w:val="center"/>
          </w:tcPr>
          <w:p>
            <w:pPr>
              <w:jc w:val="left"/>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培训需求分析，业务战略与培训需求的关系，培训需求调查的方法，培训评估的常见问题，四级评估的方法实操训练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8"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7</w:t>
            </w:r>
          </w:p>
        </w:tc>
        <w:tc>
          <w:tcPr>
            <w:tcW w:w="1050"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老年健康照护</w:t>
            </w:r>
          </w:p>
        </w:tc>
        <w:tc>
          <w:tcPr>
            <w:tcW w:w="543"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4</w:t>
            </w:r>
          </w:p>
        </w:tc>
        <w:tc>
          <w:tcPr>
            <w:tcW w:w="680" w:type="dxa"/>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64</w:t>
            </w:r>
          </w:p>
        </w:tc>
        <w:tc>
          <w:tcPr>
            <w:tcW w:w="3564" w:type="dxa"/>
            <w:vAlign w:val="center"/>
          </w:tcPr>
          <w:p>
            <w:pPr>
              <w:jc w:val="left"/>
              <w:rPr>
                <w:rFonts w:hint="eastAsia" w:ascii="宋体" w:hAnsi="宋体" w:eastAsia="宋体" w:cs="宋体"/>
                <w:color w:val="auto"/>
                <w:kern w:val="2"/>
                <w:sz w:val="18"/>
                <w:szCs w:val="18"/>
                <w:highlight w:val="none"/>
                <w:lang w:val="zh-CN" w:eastAsia="zh-CN" w:bidi="ar-SA"/>
              </w:rPr>
            </w:pPr>
            <w:r>
              <w:rPr>
                <w:rFonts w:hint="eastAsia" w:ascii="宋体" w:hAnsi="宋体" w:eastAsia="宋体" w:cs="宋体"/>
                <w:color w:val="auto"/>
                <w:sz w:val="18"/>
                <w:szCs w:val="18"/>
                <w:highlight w:val="none"/>
              </w:rPr>
              <w:t>培养学生具有以人为本、以人的健康为中心的现代健康理念，具备为老年人进行健康评估的基本理论及基本知识，具备为有健康</w:t>
            </w:r>
            <w:r>
              <w:rPr>
                <w:rFonts w:hint="eastAsia" w:ascii="宋体" w:hAnsi="宋体" w:eastAsia="宋体" w:cs="宋体"/>
                <w:color w:val="auto"/>
                <w:sz w:val="18"/>
                <w:szCs w:val="18"/>
                <w:highlight w:val="none"/>
                <w:lang w:val="en-US" w:eastAsia="zh-CN"/>
              </w:rPr>
              <w:t>问</w:t>
            </w:r>
            <w:r>
              <w:rPr>
                <w:rFonts w:hint="eastAsia" w:ascii="宋体" w:hAnsi="宋体" w:eastAsia="宋体" w:cs="宋体"/>
                <w:color w:val="auto"/>
                <w:sz w:val="18"/>
                <w:szCs w:val="18"/>
                <w:highlight w:val="none"/>
              </w:rPr>
              <w:t>题老人进行照护的基本知识。</w:t>
            </w:r>
          </w:p>
        </w:tc>
        <w:tc>
          <w:tcPr>
            <w:tcW w:w="3692" w:type="dxa"/>
            <w:vAlign w:val="center"/>
          </w:tcPr>
          <w:p>
            <w:pPr>
              <w:jc w:val="left"/>
              <w:rPr>
                <w:rFonts w:hint="eastAsia" w:ascii="宋体" w:hAnsi="宋体" w:eastAsia="宋体" w:cs="宋体"/>
                <w:color w:val="auto"/>
                <w:kern w:val="2"/>
                <w:sz w:val="18"/>
                <w:szCs w:val="18"/>
                <w:highlight w:val="none"/>
                <w:lang w:val="zh-CN" w:eastAsia="zh-CN" w:bidi="ar-SA"/>
              </w:rPr>
            </w:pPr>
            <w:r>
              <w:rPr>
                <w:rFonts w:hint="eastAsia" w:ascii="宋体" w:hAnsi="宋体" w:eastAsia="宋体" w:cs="宋体"/>
                <w:color w:val="auto"/>
                <w:sz w:val="18"/>
                <w:szCs w:val="18"/>
                <w:highlight w:val="none"/>
              </w:rPr>
              <w:t>主要包括</w:t>
            </w:r>
            <w:r>
              <w:rPr>
                <w:rFonts w:hint="eastAsia" w:ascii="宋体" w:hAnsi="宋体" w:eastAsia="宋体" w:cs="宋体"/>
                <w:color w:val="auto"/>
                <w:sz w:val="18"/>
                <w:szCs w:val="18"/>
                <w:highlight w:val="none"/>
                <w:lang w:val="en-US" w:eastAsia="zh-CN"/>
              </w:rPr>
              <w:t>老年人入院评估，</w:t>
            </w:r>
            <w:r>
              <w:rPr>
                <w:rFonts w:hint="eastAsia" w:ascii="宋体" w:hAnsi="宋体" w:eastAsia="宋体" w:cs="宋体"/>
                <w:color w:val="auto"/>
                <w:sz w:val="18"/>
                <w:szCs w:val="18"/>
                <w:highlight w:val="none"/>
              </w:rPr>
              <w:t>为老年人提供适宜的居住环境，满足老年人清洁卫生、睡眠、饮食、排泄、安全移动等方面需要的日常生活照护技术，以及预防控制院内感染、</w:t>
            </w:r>
            <w:r>
              <w:rPr>
                <w:rFonts w:hint="eastAsia" w:ascii="宋体" w:hAnsi="宋体" w:eastAsia="宋体" w:cs="宋体"/>
                <w:color w:val="auto"/>
                <w:sz w:val="18"/>
                <w:szCs w:val="18"/>
                <w:highlight w:val="none"/>
                <w:lang w:val="en-US" w:eastAsia="zh-CN"/>
              </w:rPr>
              <w:t>患病老人基础护理</w:t>
            </w:r>
            <w:r>
              <w:rPr>
                <w:rFonts w:hint="eastAsia" w:ascii="宋体" w:hAnsi="宋体" w:eastAsia="宋体" w:cs="宋体"/>
                <w:color w:val="auto"/>
                <w:sz w:val="18"/>
                <w:szCs w:val="18"/>
                <w:highlight w:val="none"/>
              </w:rPr>
              <w:t>、生命体征评估、急救、书写照护文件等专业化老年健康照护技术。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31"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8</w:t>
            </w:r>
          </w:p>
        </w:tc>
        <w:tc>
          <w:tcPr>
            <w:tcW w:w="1050"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老年康复与保健</w:t>
            </w:r>
          </w:p>
        </w:tc>
        <w:tc>
          <w:tcPr>
            <w:tcW w:w="543"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4</w:t>
            </w:r>
          </w:p>
        </w:tc>
        <w:tc>
          <w:tcPr>
            <w:tcW w:w="680"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64</w:t>
            </w:r>
          </w:p>
        </w:tc>
        <w:tc>
          <w:tcPr>
            <w:tcW w:w="3564"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rPr>
              <w:t>使学生树立起以人为本指导思想，了解老年康复与保健的基本理论和基本知识，学会老年现代康复与中医传统保健的措施，熟练掌握老年康复保健的操作技能。使学习者具备初步开展老年康复保健服务和继续学习的能力。</w:t>
            </w:r>
          </w:p>
        </w:tc>
        <w:tc>
          <w:tcPr>
            <w:tcW w:w="3692"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rPr>
              <w:t>老年康复与保健是介绍养老护理员如何对残疾、慢性病患的老年人进行日常康复与保健的学科，预防继发残疾，减轻残疾的影响，以达到全面康复的目标，使他们重返社会的一门课程。其内容包括老年康复保健的概念、目标、基本原则，现代康复技术，传统康复技术，常见老年基本的康复治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59"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9</w:t>
            </w:r>
          </w:p>
        </w:tc>
        <w:tc>
          <w:tcPr>
            <w:tcW w:w="1050" w:type="dxa"/>
            <w:vAlign w:val="center"/>
          </w:tcPr>
          <w:p>
            <w:pPr>
              <w:jc w:val="center"/>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营养与饮食保健</w:t>
            </w:r>
          </w:p>
        </w:tc>
        <w:tc>
          <w:tcPr>
            <w:tcW w:w="543"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4</w:t>
            </w:r>
          </w:p>
        </w:tc>
        <w:tc>
          <w:tcPr>
            <w:tcW w:w="68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64</w:t>
            </w:r>
          </w:p>
        </w:tc>
        <w:tc>
          <w:tcPr>
            <w:tcW w:w="3564" w:type="dxa"/>
            <w:vAlign w:val="center"/>
          </w:tcPr>
          <w:p>
            <w:pPr>
              <w:jc w:val="left"/>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了解膳食调查意义和食品营养的基本知识，熟悉营养配餐准备和制作的工艺流程，掌握膳食调查和评价、营养食谱的设计和制定，能够针对不同人群营养状况，开展营养食谱和筵席的设计，能够对常见菜点进行营养分析评价，对不同人群进行营养管理及干预。</w:t>
            </w:r>
          </w:p>
        </w:tc>
        <w:tc>
          <w:tcPr>
            <w:tcW w:w="3692" w:type="dxa"/>
            <w:vAlign w:val="center"/>
          </w:tcPr>
          <w:p>
            <w:pPr>
              <w:jc w:val="left"/>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营养学基础知识，各类食物的营养与保健价值，营养配餐的基础知识；营养配餐的准备，营养调查与评价，食谱的计算与编制，营养配餐方法，营养配餐和烹饪不同人群营养餐的制作。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10</w:t>
            </w:r>
          </w:p>
        </w:tc>
        <w:tc>
          <w:tcPr>
            <w:tcW w:w="1050" w:type="dxa"/>
            <w:vAlign w:val="center"/>
          </w:tcPr>
          <w:p>
            <w:pPr>
              <w:jc w:val="center"/>
              <w:rPr>
                <w:rFonts w:hint="eastAsia" w:ascii="宋体" w:hAnsi="宋体" w:eastAsia="宋体" w:cs="宋体"/>
                <w:color w:val="auto"/>
                <w:sz w:val="18"/>
                <w:szCs w:val="18"/>
              </w:rPr>
            </w:pPr>
          </w:p>
          <w:p>
            <w:pPr>
              <w:jc w:val="center"/>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老年心理护理</w:t>
            </w:r>
          </w:p>
        </w:tc>
        <w:tc>
          <w:tcPr>
            <w:tcW w:w="543"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4</w:t>
            </w:r>
          </w:p>
        </w:tc>
        <w:tc>
          <w:tcPr>
            <w:tcW w:w="68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64</w:t>
            </w:r>
          </w:p>
        </w:tc>
        <w:tc>
          <w:tcPr>
            <w:tcW w:w="3564" w:type="dxa"/>
            <w:vAlign w:val="center"/>
          </w:tcPr>
          <w:p>
            <w:pPr>
              <w:jc w:val="left"/>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促使学生对老年心理学基本理论有一个较为全面、系统的认识，尤其是老年心理发展的主要矛盾，学习运用基本理论分析实际问题，初步掌握矫正老年心理偏差、障碍的方法和技能技巧，为进一步实践工作打下良好基础。</w:t>
            </w:r>
          </w:p>
        </w:tc>
        <w:tc>
          <w:tcPr>
            <w:tcW w:w="3692" w:type="dxa"/>
            <w:vAlign w:val="center"/>
          </w:tcPr>
          <w:p>
            <w:pPr>
              <w:jc w:val="left"/>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主要包括心理护理工作基础、老年人的心理特点与心理问题、老年人心理护理的基本技能、老年人心身疾病的心理护理、老年人心理疾病的心理护理、与死亡相关问题的心理护理、老年人家庭问题的心理护理和老年人社会适应问题的心理护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11"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11</w:t>
            </w:r>
          </w:p>
        </w:tc>
        <w:tc>
          <w:tcPr>
            <w:tcW w:w="1050" w:type="dxa"/>
            <w:vAlign w:val="center"/>
          </w:tcPr>
          <w:p>
            <w:pPr>
              <w:jc w:val="center"/>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kern w:val="0"/>
                <w:sz w:val="18"/>
                <w:szCs w:val="18"/>
                <w:lang w:bidi="ar"/>
              </w:rPr>
              <w:t>养老机构经营与管理</w:t>
            </w:r>
          </w:p>
        </w:tc>
        <w:tc>
          <w:tcPr>
            <w:tcW w:w="543"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4</w:t>
            </w:r>
          </w:p>
        </w:tc>
        <w:tc>
          <w:tcPr>
            <w:tcW w:w="68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64</w:t>
            </w:r>
          </w:p>
        </w:tc>
        <w:tc>
          <w:tcPr>
            <w:tcW w:w="3564" w:type="dxa"/>
            <w:vAlign w:val="center"/>
          </w:tcPr>
          <w:p>
            <w:pPr>
              <w:jc w:val="left"/>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培养学生职业能力培养和职业素质养， 强化学生遵老敬老、爱岗敬业、吃苦耐劳、无私奉献的职业道德。积极推动和提高本专业人才培养质量、树立品牌、提升人才就业质量和就业稳定性，促进人才可持续发展。</w:t>
            </w:r>
          </w:p>
        </w:tc>
        <w:tc>
          <w:tcPr>
            <w:tcW w:w="3692" w:type="dxa"/>
            <w:vAlign w:val="center"/>
          </w:tcPr>
          <w:p>
            <w:pPr>
              <w:jc w:val="left"/>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主要内容包括养老机构的设置、老年人能力评估、养老机构照护服务、养老机构医疗服务、养老机构康复服务、老年人心理健康服务、养老机构膳食营养服务、养老机构规章制度建设等。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5"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12</w:t>
            </w:r>
          </w:p>
        </w:tc>
        <w:tc>
          <w:tcPr>
            <w:tcW w:w="1050"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老年人常见疾病预防</w:t>
            </w:r>
          </w:p>
        </w:tc>
        <w:tc>
          <w:tcPr>
            <w:tcW w:w="543"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4</w:t>
            </w:r>
          </w:p>
        </w:tc>
        <w:tc>
          <w:tcPr>
            <w:tcW w:w="68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64</w:t>
            </w:r>
          </w:p>
        </w:tc>
        <w:tc>
          <w:tcPr>
            <w:tcW w:w="3564"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rPr>
              <w:t>培养学生了解老年人常见病、多发病的临床特点，使其具有观察病情变化并理解老年人不舒适症状的能力、制定恰当的护理方案的能力、遵照医嘱进行用药护理以及开展健康教育的能力。</w:t>
            </w:r>
          </w:p>
        </w:tc>
        <w:tc>
          <w:tcPr>
            <w:tcW w:w="3692" w:type="dxa"/>
            <w:vAlign w:val="center"/>
          </w:tcPr>
          <w:p>
            <w:pPr>
              <w:jc w:val="left"/>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老年常见疾病特点及护理</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呼吸系统老年常见病的预防与护理</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循环系统老年常见病的预防与护理 </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 神经精神系统老年常见病的预防与护理</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消化系统老年常见病的预防与护理</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感觉器官老年常见病的预防与护理</w:t>
            </w:r>
            <w:r>
              <w:rPr>
                <w:rFonts w:hint="eastAsia" w:ascii="宋体" w:hAnsi="宋体" w:eastAsia="宋体" w:cs="宋体"/>
                <w:color w:val="auto"/>
                <w:sz w:val="18"/>
                <w:szCs w:val="18"/>
                <w:lang w:val="en-US" w:eastAsia="zh-CN"/>
              </w:rPr>
              <w:t>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99"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13</w:t>
            </w:r>
          </w:p>
        </w:tc>
        <w:tc>
          <w:tcPr>
            <w:tcW w:w="1050" w:type="dxa"/>
            <w:vAlign w:val="center"/>
          </w:tcPr>
          <w:p>
            <w:pPr>
              <w:jc w:val="center"/>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老年活动策划</w:t>
            </w:r>
          </w:p>
        </w:tc>
        <w:tc>
          <w:tcPr>
            <w:tcW w:w="543"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4</w:t>
            </w:r>
          </w:p>
        </w:tc>
        <w:tc>
          <w:tcPr>
            <w:tcW w:w="68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64</w:t>
            </w:r>
          </w:p>
        </w:tc>
        <w:tc>
          <w:tcPr>
            <w:tcW w:w="3564" w:type="dxa"/>
            <w:vAlign w:val="center"/>
          </w:tcPr>
          <w:p>
            <w:pPr>
              <w:jc w:val="left"/>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了解老年人的生理特点、心理特点，可以根据情况给老年人活动进行分类，培养老年人活动开展的技巧，认识老年人活动策划与组织，掌握老年人活动策划方法和程序，撰写老年人活动策划案及相关内容对老年人活动策划实施评价。</w:t>
            </w:r>
          </w:p>
        </w:tc>
        <w:tc>
          <w:tcPr>
            <w:tcW w:w="3692" w:type="dxa"/>
            <w:vAlign w:val="center"/>
          </w:tcPr>
          <w:p>
            <w:pPr>
              <w:jc w:val="left"/>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老年人活动的相关理论和策划、老年人学习类活动策划组织、老年人竞赛类活动策划组织、老年人旅游类活动策划组织、老年人茶话会活动策划组织等。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1"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14</w:t>
            </w:r>
          </w:p>
        </w:tc>
        <w:tc>
          <w:tcPr>
            <w:tcW w:w="1050" w:type="dxa"/>
            <w:vAlign w:val="center"/>
          </w:tcPr>
          <w:p>
            <w:pPr>
              <w:jc w:val="center"/>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lang w:val="zh-CN"/>
              </w:rPr>
              <w:t>老年服务政策法规</w:t>
            </w:r>
          </w:p>
        </w:tc>
        <w:tc>
          <w:tcPr>
            <w:tcW w:w="543"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2</w:t>
            </w:r>
          </w:p>
        </w:tc>
        <w:tc>
          <w:tcPr>
            <w:tcW w:w="68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32</w:t>
            </w:r>
          </w:p>
        </w:tc>
        <w:tc>
          <w:tcPr>
            <w:tcW w:w="3564" w:type="dxa"/>
            <w:vAlign w:val="center"/>
          </w:tcPr>
          <w:p>
            <w:pPr>
              <w:jc w:val="left"/>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了解与老年服务从业工作有关的社会福利政策制度，对接老年机构管理需求和服务机构经营管理实践。</w:t>
            </w:r>
          </w:p>
        </w:tc>
        <w:tc>
          <w:tcPr>
            <w:tcW w:w="3692" w:type="dxa"/>
            <w:vAlign w:val="center"/>
          </w:tcPr>
          <w:p>
            <w:pPr>
              <w:jc w:val="left"/>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主要内容老年社会相关的医疗卫生服 务、文化教育服务、劳动就业服务、住宅服务、孤老残幼服务、残疾康复服 务、心理卫生服务、公共福利服务等。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2"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15</w:t>
            </w:r>
          </w:p>
        </w:tc>
        <w:tc>
          <w:tcPr>
            <w:tcW w:w="1050"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中医护理与保健</w:t>
            </w:r>
          </w:p>
        </w:tc>
        <w:tc>
          <w:tcPr>
            <w:tcW w:w="543"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68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32</w:t>
            </w:r>
          </w:p>
        </w:tc>
        <w:tc>
          <w:tcPr>
            <w:tcW w:w="3564" w:type="dxa"/>
            <w:vAlign w:val="center"/>
          </w:tcPr>
          <w:p>
            <w:pPr>
              <w:jc w:val="left"/>
              <w:rPr>
                <w:rFonts w:hint="eastAsia" w:ascii="宋体" w:hAnsi="宋体" w:eastAsia="宋体" w:cs="宋体"/>
                <w:color w:val="auto"/>
                <w:sz w:val="18"/>
                <w:szCs w:val="18"/>
                <w:lang w:val="zh-CN"/>
              </w:rPr>
            </w:pPr>
            <w:r>
              <w:rPr>
                <w:rFonts w:hint="eastAsia" w:ascii="宋体" w:hAnsi="宋体" w:eastAsia="宋体" w:cs="宋体"/>
                <w:color w:val="auto"/>
                <w:sz w:val="18"/>
                <w:szCs w:val="18"/>
                <w:lang w:val="zh-CN"/>
              </w:rPr>
              <w:t>培养学生应掌握现代护理学知识和技能，掌握中医辨证施护、整体护理，具有一定的医学、人文社会科学和自然科学基础理论和知识</w:t>
            </w:r>
            <w:r>
              <w:rPr>
                <w:rFonts w:hint="eastAsia" w:ascii="宋体" w:hAnsi="宋体" w:eastAsia="宋体" w:cs="宋体"/>
                <w:color w:val="auto"/>
                <w:sz w:val="18"/>
                <w:szCs w:val="18"/>
                <w:lang w:val="en-US" w:eastAsia="zh-CN"/>
              </w:rPr>
              <w:t>的</w:t>
            </w:r>
            <w:r>
              <w:rPr>
                <w:rFonts w:hint="eastAsia" w:ascii="宋体" w:hAnsi="宋体" w:eastAsia="宋体" w:cs="宋体"/>
                <w:color w:val="auto"/>
                <w:sz w:val="18"/>
                <w:szCs w:val="18"/>
                <w:lang w:val="zh-CN"/>
              </w:rPr>
              <w:t>护理人才。</w:t>
            </w:r>
          </w:p>
        </w:tc>
        <w:tc>
          <w:tcPr>
            <w:tcW w:w="3692" w:type="dxa"/>
            <w:vAlign w:val="center"/>
          </w:tcPr>
          <w:p>
            <w:pPr>
              <w:jc w:val="left"/>
              <w:rPr>
                <w:rFonts w:hint="eastAsia" w:ascii="宋体" w:hAnsi="宋体" w:eastAsia="宋体" w:cs="宋体"/>
                <w:color w:val="auto"/>
                <w:sz w:val="18"/>
                <w:szCs w:val="18"/>
                <w:lang w:val="zh-CN"/>
              </w:rPr>
            </w:pPr>
            <w:r>
              <w:rPr>
                <w:rFonts w:hint="eastAsia" w:ascii="宋体" w:hAnsi="宋体" w:eastAsia="宋体" w:cs="宋体"/>
                <w:color w:val="auto"/>
                <w:sz w:val="18"/>
                <w:szCs w:val="18"/>
                <w:lang w:val="zh-CN"/>
              </w:rPr>
              <w:t>拔罐针灸、拨罐、按摩、</w:t>
            </w:r>
            <w:r>
              <w:rPr>
                <w:rFonts w:hint="eastAsia" w:ascii="宋体" w:hAnsi="宋体" w:eastAsia="宋体" w:cs="宋体"/>
                <w:color w:val="auto"/>
                <w:sz w:val="18"/>
                <w:szCs w:val="18"/>
                <w:lang w:val="zh-CN"/>
              </w:rPr>
              <w:fldChar w:fldCharType="begin"/>
            </w:r>
            <w:r>
              <w:rPr>
                <w:rFonts w:hint="eastAsia" w:ascii="宋体" w:hAnsi="宋体" w:eastAsia="宋体" w:cs="宋体"/>
                <w:color w:val="auto"/>
                <w:sz w:val="18"/>
                <w:szCs w:val="18"/>
                <w:lang w:val="zh-CN"/>
              </w:rPr>
              <w:instrText xml:space="preserve"> HYPERLINK "https://baike.baidu.com/item/%E5%88%AE%E7%97%A7" \t "https://baike.baidu.com/item/%E4%B8%AD%E5%8C%BB%E6%8A%A4%E7%90%86/_blank" </w:instrText>
            </w:r>
            <w:r>
              <w:rPr>
                <w:rFonts w:hint="eastAsia" w:ascii="宋体" w:hAnsi="宋体" w:eastAsia="宋体" w:cs="宋体"/>
                <w:color w:val="auto"/>
                <w:sz w:val="18"/>
                <w:szCs w:val="18"/>
                <w:lang w:val="zh-CN"/>
              </w:rPr>
              <w:fldChar w:fldCharType="separate"/>
            </w:r>
            <w:r>
              <w:rPr>
                <w:rFonts w:hint="eastAsia" w:ascii="宋体" w:hAnsi="宋体" w:eastAsia="宋体" w:cs="宋体"/>
                <w:color w:val="auto"/>
                <w:sz w:val="18"/>
                <w:szCs w:val="18"/>
                <w:lang w:val="zh-CN"/>
              </w:rPr>
              <w:t>刮痧</w:t>
            </w:r>
            <w:r>
              <w:rPr>
                <w:rFonts w:hint="eastAsia" w:ascii="宋体" w:hAnsi="宋体" w:eastAsia="宋体" w:cs="宋体"/>
                <w:color w:val="auto"/>
                <w:sz w:val="18"/>
                <w:szCs w:val="18"/>
                <w:lang w:val="zh-CN"/>
              </w:rPr>
              <w:fldChar w:fldCharType="end"/>
            </w:r>
            <w:r>
              <w:rPr>
                <w:rFonts w:hint="eastAsia" w:ascii="宋体" w:hAnsi="宋体" w:eastAsia="宋体" w:cs="宋体"/>
                <w:color w:val="auto"/>
                <w:sz w:val="18"/>
                <w:szCs w:val="18"/>
                <w:lang w:val="zh-CN"/>
              </w:rPr>
              <w:t>、耳针、梅花针、中药熏洗等二十余种常用中医传统技术。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1" w:hRule="atLeast"/>
          <w:jc w:val="center"/>
        </w:trPr>
        <w:tc>
          <w:tcPr>
            <w:tcW w:w="545" w:type="dxa"/>
            <w:vAlign w:val="center"/>
          </w:tcPr>
          <w:p>
            <w:pPr>
              <w:jc w:val="center"/>
              <w:rPr>
                <w:rFonts w:hint="eastAsia" w:ascii="宋体" w:hAnsi="宋体" w:eastAsia="宋体" w:cs="宋体"/>
                <w:color w:val="auto"/>
                <w:sz w:val="18"/>
                <w:szCs w:val="18"/>
              </w:rPr>
            </w:pPr>
          </w:p>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16</w:t>
            </w:r>
          </w:p>
        </w:tc>
        <w:tc>
          <w:tcPr>
            <w:tcW w:w="1050" w:type="dxa"/>
            <w:vAlign w:val="center"/>
          </w:tcPr>
          <w:p>
            <w:pPr>
              <w:jc w:val="center"/>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老年社会工作实务</w:t>
            </w:r>
          </w:p>
        </w:tc>
        <w:tc>
          <w:tcPr>
            <w:tcW w:w="543"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2</w:t>
            </w:r>
          </w:p>
        </w:tc>
        <w:tc>
          <w:tcPr>
            <w:tcW w:w="68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32</w:t>
            </w:r>
          </w:p>
        </w:tc>
        <w:tc>
          <w:tcPr>
            <w:tcW w:w="3564" w:type="dxa"/>
            <w:vAlign w:val="center"/>
          </w:tcPr>
          <w:p>
            <w:pPr>
              <w:jc w:val="left"/>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促使学生比较全面系统的了解和掌握老年社会工作的基本理论和基本知识，树立为老服务的理念，并能熟悉的运用所学知识分析和解决具体养老过程中遇到的问题。</w:t>
            </w:r>
          </w:p>
        </w:tc>
        <w:tc>
          <w:tcPr>
            <w:tcW w:w="3692" w:type="dxa"/>
            <w:vAlign w:val="center"/>
          </w:tcPr>
          <w:p>
            <w:pPr>
              <w:jc w:val="left"/>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主要内容包括科学认识老年人，老年社会工作理论，老年社会工作的内容，老年社会工作政策与法规，老年个案工作，老年小组工作，，老年社区工作， 老年社会工作行政特殊问题老年人的社会服务。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26"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17</w:t>
            </w:r>
          </w:p>
        </w:tc>
        <w:tc>
          <w:tcPr>
            <w:tcW w:w="1050" w:type="dxa"/>
            <w:vAlign w:val="center"/>
          </w:tcPr>
          <w:p>
            <w:pPr>
              <w:jc w:val="center"/>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老年产品市场开发</w:t>
            </w:r>
          </w:p>
        </w:tc>
        <w:tc>
          <w:tcPr>
            <w:tcW w:w="543"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2</w:t>
            </w:r>
          </w:p>
        </w:tc>
        <w:tc>
          <w:tcPr>
            <w:tcW w:w="68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32</w:t>
            </w:r>
          </w:p>
        </w:tc>
        <w:tc>
          <w:tcPr>
            <w:tcW w:w="3564" w:type="dxa"/>
            <w:vAlign w:val="center"/>
          </w:tcPr>
          <w:p>
            <w:pPr>
              <w:jc w:val="left"/>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培养学生理解老年产品的体验能力，提高学生对涉老产品的兴趣和技术开发， 提升动手能力，在物联网时代以适应学习和工作的需要。</w:t>
            </w:r>
          </w:p>
        </w:tc>
        <w:tc>
          <w:tcPr>
            <w:tcW w:w="3692" w:type="dxa"/>
            <w:vAlign w:val="center"/>
          </w:tcPr>
          <w:p>
            <w:pPr>
              <w:jc w:val="left"/>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涉老产品的营销环境分析、目标市场选择、营销策略制定等内容，是针对提高新型职业涉老产品研发创新素质、知识水平和掌握基本技能。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18</w:t>
            </w:r>
          </w:p>
        </w:tc>
        <w:tc>
          <w:tcPr>
            <w:tcW w:w="105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凉山旅游文化</w:t>
            </w:r>
          </w:p>
        </w:tc>
        <w:tc>
          <w:tcPr>
            <w:tcW w:w="543"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2</w:t>
            </w:r>
          </w:p>
        </w:tc>
        <w:tc>
          <w:tcPr>
            <w:tcW w:w="68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32</w:t>
            </w:r>
          </w:p>
        </w:tc>
        <w:tc>
          <w:tcPr>
            <w:tcW w:w="3564" w:type="dxa"/>
            <w:vAlign w:val="top"/>
          </w:tcPr>
          <w:p>
            <w:pPr>
              <w:jc w:val="left"/>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rPr>
              <w:t>通过本课程的学习，使学生了解</w:t>
            </w:r>
            <w:r>
              <w:rPr>
                <w:rFonts w:hint="eastAsia" w:ascii="宋体" w:hAnsi="宋体" w:eastAsia="宋体" w:cs="宋体"/>
                <w:color w:val="auto"/>
                <w:sz w:val="18"/>
                <w:szCs w:val="18"/>
                <w:lang w:val="en-US" w:eastAsia="zh-CN"/>
              </w:rPr>
              <w:t>凉山州本地的旅游资源及旅游文化。</w:t>
            </w:r>
          </w:p>
        </w:tc>
        <w:tc>
          <w:tcPr>
            <w:tcW w:w="3692" w:type="dxa"/>
            <w:vAlign w:val="top"/>
          </w:tcPr>
          <w:p>
            <w:pPr>
              <w:jc w:val="left"/>
              <w:rPr>
                <w:rFonts w:hint="eastAsia" w:ascii="宋体" w:hAnsi="宋体" w:eastAsia="宋体" w:cs="宋体"/>
                <w:color w:val="auto"/>
                <w:kern w:val="2"/>
                <w:sz w:val="18"/>
                <w:szCs w:val="18"/>
                <w:lang w:val="zh-CN" w:eastAsia="zh-CN" w:bidi="ar-SA"/>
              </w:rPr>
            </w:pPr>
            <w:r>
              <w:rPr>
                <w:rFonts w:hint="eastAsia" w:ascii="宋体" w:hAnsi="宋体" w:eastAsia="宋体" w:cs="宋体"/>
                <w:color w:val="auto"/>
                <w:sz w:val="18"/>
                <w:szCs w:val="18"/>
                <w:lang w:val="en-US" w:eastAsia="zh-CN"/>
              </w:rPr>
              <w:t>红色旅游文化、航天文化、少数民族文化。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5" w:hRule="atLeast"/>
          <w:jc w:val="center"/>
        </w:trPr>
        <w:tc>
          <w:tcPr>
            <w:tcW w:w="545" w:type="dxa"/>
            <w:vAlign w:val="center"/>
          </w:tcPr>
          <w:p>
            <w:pPr>
              <w:jc w:val="center"/>
              <w:rPr>
                <w:rFonts w:hint="eastAsia" w:ascii="宋体" w:hAnsi="宋体" w:eastAsia="宋体" w:cs="宋体"/>
                <w:color w:val="auto"/>
                <w:sz w:val="18"/>
                <w:szCs w:val="18"/>
              </w:rPr>
            </w:pPr>
          </w:p>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19</w:t>
            </w:r>
          </w:p>
        </w:tc>
        <w:tc>
          <w:tcPr>
            <w:tcW w:w="105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茶文化与茶艺</w:t>
            </w:r>
          </w:p>
        </w:tc>
        <w:tc>
          <w:tcPr>
            <w:tcW w:w="543"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2</w:t>
            </w:r>
          </w:p>
        </w:tc>
        <w:tc>
          <w:tcPr>
            <w:tcW w:w="680"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32</w:t>
            </w:r>
          </w:p>
        </w:tc>
        <w:tc>
          <w:tcPr>
            <w:tcW w:w="3564" w:type="dxa"/>
            <w:vAlign w:val="center"/>
          </w:tcPr>
          <w:p>
            <w:pPr>
              <w:keepNext w:val="0"/>
              <w:keepLines w:val="0"/>
              <w:pageBreakBefore w:val="0"/>
              <w:kinsoku/>
              <w:wordWrap/>
              <w:overflowPunct/>
              <w:topLinePunct w:val="0"/>
              <w:autoSpaceDE w:val="0"/>
              <w:autoSpaceDN w:val="0"/>
              <w:bidi w:val="0"/>
              <w:adjustRightInd w:val="0"/>
              <w:snapToGrid w:val="0"/>
              <w:spacing w:line="240" w:lineRule="auto"/>
              <w:ind w:left="0" w:leftChars="0" w:right="0" w:rightChars="0" w:firstLine="0" w:firstLineChars="0"/>
              <w:jc w:val="left"/>
              <w:rPr>
                <w:rFonts w:hint="eastAsia" w:ascii="宋体" w:hAnsi="宋体" w:eastAsia="宋体" w:cs="宋体"/>
                <w:color w:val="auto"/>
                <w:kern w:val="2"/>
                <w:sz w:val="18"/>
                <w:szCs w:val="18"/>
                <w:lang w:val="zh-CN" w:eastAsia="zh-CN" w:bidi="zh-CN"/>
              </w:rPr>
            </w:pPr>
            <w:r>
              <w:rPr>
                <w:rFonts w:hint="eastAsia" w:ascii="宋体" w:hAnsi="宋体" w:eastAsia="宋体" w:cs="宋体"/>
                <w:color w:val="auto"/>
                <w:sz w:val="18"/>
                <w:szCs w:val="18"/>
              </w:rPr>
              <w:t>通过本课程的学习，使学生掌握中国茶文化基础知识和相关知识，具备冲泡一杯好茶的技能，培养茶艺服务工作能力。</w:t>
            </w:r>
          </w:p>
        </w:tc>
        <w:tc>
          <w:tcPr>
            <w:tcW w:w="3692" w:type="dxa"/>
            <w:vAlign w:val="center"/>
          </w:tcPr>
          <w:p>
            <w:pPr>
              <w:keepNext w:val="0"/>
              <w:keepLines w:val="0"/>
              <w:pageBreakBefore w:val="0"/>
              <w:kinsoku/>
              <w:wordWrap/>
              <w:overflowPunct/>
              <w:topLinePunct w:val="0"/>
              <w:autoSpaceDE w:val="0"/>
              <w:autoSpaceDN w:val="0"/>
              <w:bidi w:val="0"/>
              <w:adjustRightInd w:val="0"/>
              <w:snapToGrid w:val="0"/>
              <w:spacing w:line="240" w:lineRule="auto"/>
              <w:ind w:left="0" w:leftChars="0" w:right="0" w:rightChars="0" w:firstLine="0" w:firstLineChars="0"/>
              <w:jc w:val="left"/>
              <w:rPr>
                <w:rFonts w:hint="eastAsia" w:ascii="宋体" w:hAnsi="宋体" w:eastAsia="宋体" w:cs="宋体"/>
                <w:color w:val="auto"/>
                <w:kern w:val="2"/>
                <w:sz w:val="18"/>
                <w:szCs w:val="18"/>
                <w:lang w:val="zh-CN" w:eastAsia="zh-CN" w:bidi="zh-CN"/>
              </w:rPr>
            </w:pPr>
            <w:r>
              <w:rPr>
                <w:rFonts w:hint="eastAsia" w:ascii="宋体" w:hAnsi="宋体" w:eastAsia="宋体" w:cs="宋体"/>
                <w:color w:val="auto"/>
                <w:sz w:val="18"/>
                <w:szCs w:val="18"/>
              </w:rPr>
              <w:t>认知茶行业与茶文化基础知识、茶叶基础知识、各种茶的行茶手法和冲泡方法、茶艺表演管理、创新项目茶艺操作服务模拟练习、盖碗冲泡乌龙茶、紫砂壶冲泡乌龙茶、玻璃杯冲泡绿茶、盖碗冲泡红茶、 茶馆经营与管理。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jc w:val="center"/>
        </w:trPr>
        <w:tc>
          <w:tcPr>
            <w:tcW w:w="545" w:type="dxa"/>
            <w:vAlign w:val="center"/>
          </w:tcPr>
          <w:p>
            <w:pPr>
              <w:jc w:val="center"/>
              <w:rPr>
                <w:rFonts w:hint="eastAsia" w:ascii="宋体" w:hAnsi="宋体" w:eastAsia="宋体" w:cs="宋体"/>
                <w:color w:val="auto"/>
                <w:sz w:val="18"/>
                <w:szCs w:val="18"/>
              </w:rPr>
            </w:pPr>
          </w:p>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20</w:t>
            </w:r>
          </w:p>
        </w:tc>
        <w:tc>
          <w:tcPr>
            <w:tcW w:w="1050"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书法与鉴赏</w:t>
            </w:r>
          </w:p>
        </w:tc>
        <w:tc>
          <w:tcPr>
            <w:tcW w:w="543"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68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32</w:t>
            </w:r>
          </w:p>
        </w:tc>
        <w:tc>
          <w:tcPr>
            <w:tcW w:w="3564" w:type="dxa"/>
            <w:vAlign w:val="center"/>
          </w:tcPr>
          <w:p>
            <w:pPr>
              <w:jc w:val="left"/>
              <w:rPr>
                <w:rFonts w:hint="eastAsia" w:ascii="宋体" w:hAnsi="宋体" w:eastAsia="宋体" w:cs="宋体"/>
                <w:color w:val="auto"/>
                <w:sz w:val="18"/>
                <w:szCs w:val="18"/>
                <w:lang w:eastAsia="zh-CN"/>
              </w:rPr>
            </w:pPr>
            <w:r>
              <w:rPr>
                <w:rFonts w:hint="eastAsia" w:ascii="宋体" w:hAnsi="宋体" w:eastAsia="宋体" w:cs="宋体"/>
                <w:color w:val="auto"/>
                <w:sz w:val="18"/>
                <w:szCs w:val="18"/>
              </w:rPr>
              <w:t>培养学生具有良好书写习惯、书写态度和一定汉字审美情趣</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rPr>
              <w:t>通过钢笔硬笔书法，纠正</w:t>
            </w:r>
            <w:r>
              <w:rPr>
                <w:rFonts w:hint="eastAsia" w:ascii="宋体" w:hAnsi="宋体" w:eastAsia="宋体" w:cs="宋体"/>
                <w:color w:val="auto"/>
                <w:sz w:val="18"/>
                <w:szCs w:val="18"/>
                <w:lang w:val="en-US" w:eastAsia="zh-CN"/>
              </w:rPr>
              <w:t>学生</w:t>
            </w:r>
            <w:r>
              <w:rPr>
                <w:rFonts w:hint="eastAsia" w:ascii="宋体" w:hAnsi="宋体" w:eastAsia="宋体" w:cs="宋体"/>
                <w:color w:val="auto"/>
                <w:sz w:val="18"/>
                <w:szCs w:val="18"/>
              </w:rPr>
              <w:t>的书写姿势、握笔姿势和坐姿；通过对汉字笔顺、笔画、大小、位置、整体形态和间架结构的学习写一手好字</w:t>
            </w:r>
            <w:r>
              <w:rPr>
                <w:rFonts w:hint="eastAsia" w:ascii="宋体" w:hAnsi="宋体" w:eastAsia="宋体" w:cs="宋体"/>
                <w:color w:val="auto"/>
                <w:sz w:val="18"/>
                <w:szCs w:val="18"/>
                <w:lang w:eastAsia="zh-CN"/>
              </w:rPr>
              <w:t>。</w:t>
            </w:r>
          </w:p>
        </w:tc>
        <w:tc>
          <w:tcPr>
            <w:tcW w:w="3692" w:type="dxa"/>
            <w:vAlign w:val="center"/>
          </w:tcPr>
          <w:p>
            <w:pPr>
              <w:jc w:val="left"/>
              <w:rPr>
                <w:rFonts w:hint="eastAsia" w:ascii="宋体" w:hAnsi="宋体" w:eastAsia="宋体" w:cs="宋体"/>
                <w:color w:val="auto"/>
                <w:sz w:val="18"/>
                <w:szCs w:val="18"/>
                <w:lang w:val="zh-CN"/>
              </w:rPr>
            </w:pPr>
            <w:r>
              <w:rPr>
                <w:rFonts w:hint="eastAsia" w:ascii="宋体" w:hAnsi="宋体" w:eastAsia="宋体" w:cs="宋体"/>
                <w:color w:val="auto"/>
                <w:sz w:val="18"/>
                <w:szCs w:val="18"/>
                <w:lang w:val="zh-CN"/>
              </w:rPr>
              <w:t>书法是什么,汉字的形体与书体,五体书法范本简介,书写工具,书写姿势,笔法研究,结字研究,章法研究,临写,创作等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9"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21</w:t>
            </w:r>
          </w:p>
        </w:tc>
        <w:tc>
          <w:tcPr>
            <w:tcW w:w="1050"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社区护理</w:t>
            </w:r>
          </w:p>
        </w:tc>
        <w:tc>
          <w:tcPr>
            <w:tcW w:w="543"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68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32</w:t>
            </w:r>
          </w:p>
        </w:tc>
        <w:tc>
          <w:tcPr>
            <w:tcW w:w="3564" w:type="dxa"/>
            <w:vAlign w:val="center"/>
          </w:tcPr>
          <w:p>
            <w:pPr>
              <w:jc w:val="left"/>
              <w:rPr>
                <w:rFonts w:hint="eastAsia" w:ascii="宋体" w:hAnsi="宋体" w:eastAsia="宋体" w:cs="宋体"/>
                <w:color w:val="auto"/>
                <w:sz w:val="18"/>
                <w:szCs w:val="18"/>
                <w:lang w:val="zh-CN"/>
              </w:rPr>
            </w:pPr>
            <w:r>
              <w:rPr>
                <w:rFonts w:hint="eastAsia" w:ascii="宋体" w:hAnsi="宋体" w:eastAsia="宋体" w:cs="宋体"/>
                <w:color w:val="auto"/>
                <w:sz w:val="18"/>
                <w:szCs w:val="18"/>
                <w:lang w:val="zh-CN"/>
              </w:rPr>
              <w:t>使护生掌握护理基本知识和基本技能，为学习以护理程序为框架的各临床护理课程，以及日后走上社区护理工作岗位，应用护理程序开展整体护理，促进病人健康打下坚实的知识、技术和能力基础。</w:t>
            </w:r>
          </w:p>
        </w:tc>
        <w:tc>
          <w:tcPr>
            <w:tcW w:w="3692" w:type="dxa"/>
            <w:vAlign w:val="center"/>
          </w:tcPr>
          <w:p>
            <w:pPr>
              <w:jc w:val="left"/>
              <w:rPr>
                <w:rFonts w:hint="eastAsia" w:ascii="宋体" w:hAnsi="宋体" w:eastAsia="宋体" w:cs="宋体"/>
                <w:color w:val="auto"/>
                <w:sz w:val="18"/>
                <w:szCs w:val="18"/>
                <w:lang w:val="zh-CN"/>
              </w:rPr>
            </w:pPr>
            <w:r>
              <w:rPr>
                <w:rFonts w:hint="eastAsia" w:ascii="宋体" w:hAnsi="宋体" w:eastAsia="宋体" w:cs="宋体"/>
                <w:color w:val="auto"/>
                <w:sz w:val="18"/>
                <w:szCs w:val="18"/>
                <w:lang w:val="zh-CN"/>
              </w:rPr>
              <w:t>环境对健康的影响及其预防措施；常见地方病、职业病、食物中毒、传染病以及慢性病的防制；医学统计学和流行病学方法在疾病研究、控制中的应用；预防医学理论在临床医学实践中的应用；预防医学新知识、新理论、新技术及其发展趋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1"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22</w:t>
            </w:r>
          </w:p>
        </w:tc>
        <w:tc>
          <w:tcPr>
            <w:tcW w:w="1050"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老年经济学</w:t>
            </w:r>
          </w:p>
        </w:tc>
        <w:tc>
          <w:tcPr>
            <w:tcW w:w="543"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68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32</w:t>
            </w:r>
          </w:p>
        </w:tc>
        <w:tc>
          <w:tcPr>
            <w:tcW w:w="3564" w:type="dxa"/>
            <w:vAlign w:val="center"/>
          </w:tcPr>
          <w:p>
            <w:pPr>
              <w:jc w:val="left"/>
              <w:rPr>
                <w:rFonts w:hint="eastAsia" w:ascii="宋体" w:hAnsi="宋体" w:eastAsia="宋体" w:cs="宋体"/>
                <w:color w:val="auto"/>
                <w:sz w:val="18"/>
                <w:szCs w:val="18"/>
                <w:lang w:eastAsia="zh-CN"/>
              </w:rPr>
            </w:pPr>
            <w:r>
              <w:rPr>
                <w:rFonts w:hint="eastAsia" w:ascii="宋体" w:hAnsi="宋体" w:eastAsia="宋体" w:cs="宋体"/>
                <w:color w:val="auto"/>
                <w:sz w:val="18"/>
                <w:szCs w:val="18"/>
              </w:rPr>
              <w:t>通过对当前老年人理财需求现状的分析,分析人口老龄化老年人理财服务存在的问题,从而为提高老年人理财服务质量提供意见</w:t>
            </w:r>
            <w:r>
              <w:rPr>
                <w:rFonts w:hint="eastAsia" w:ascii="宋体" w:hAnsi="宋体" w:eastAsia="宋体" w:cs="宋体"/>
                <w:color w:val="auto"/>
                <w:sz w:val="18"/>
                <w:szCs w:val="18"/>
                <w:lang w:eastAsia="zh-CN"/>
              </w:rPr>
              <w:t>。</w:t>
            </w:r>
          </w:p>
        </w:tc>
        <w:tc>
          <w:tcPr>
            <w:tcW w:w="3692" w:type="dxa"/>
            <w:vAlign w:val="center"/>
          </w:tcPr>
          <w:p>
            <w:pPr>
              <w:jc w:val="left"/>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lang w:val="zh-CN" w:eastAsia="zh-CN"/>
              </w:rPr>
              <w:t>老年人养老理财规划的现状、人口老龄化养老理财服务存在的问题、完善老年人理财规划的具体对策。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8"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23</w:t>
            </w:r>
          </w:p>
        </w:tc>
        <w:tc>
          <w:tcPr>
            <w:tcW w:w="1050" w:type="dxa"/>
            <w:vAlign w:val="center"/>
          </w:tcPr>
          <w:p>
            <w:pPr>
              <w:jc w:val="center"/>
              <w:rPr>
                <w:rFonts w:hint="eastAsia" w:ascii="宋体" w:hAnsi="宋体" w:eastAsia="宋体" w:cs="宋体"/>
                <w:color w:val="auto"/>
                <w:sz w:val="18"/>
                <w:szCs w:val="18"/>
                <w:lang w:val="zh-CN"/>
              </w:rPr>
            </w:pPr>
            <w:r>
              <w:rPr>
                <w:rFonts w:hint="eastAsia" w:ascii="宋体" w:hAnsi="宋体" w:eastAsia="宋体" w:cs="宋体"/>
                <w:color w:val="auto"/>
                <w:sz w:val="18"/>
                <w:szCs w:val="18"/>
              </w:rPr>
              <w:t>老年服务礼仪实训</w:t>
            </w:r>
          </w:p>
        </w:tc>
        <w:tc>
          <w:tcPr>
            <w:tcW w:w="543"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68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32</w:t>
            </w:r>
          </w:p>
        </w:tc>
        <w:tc>
          <w:tcPr>
            <w:tcW w:w="3564"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rPr>
              <w:t>按照德育为先、能力为重、全面发展的要求，以护理工作中的礼仪修养、沟通技能训练为核心，着力培养学生职业技能和就业创业能力，达到“用心来学习，用身体来实践”的目的。</w:t>
            </w:r>
          </w:p>
        </w:tc>
        <w:tc>
          <w:tcPr>
            <w:tcW w:w="3692" w:type="dxa"/>
            <w:vAlign w:val="center"/>
          </w:tcPr>
          <w:p>
            <w:pPr>
              <w:jc w:val="left"/>
              <w:rPr>
                <w:rFonts w:hint="eastAsia" w:ascii="宋体" w:hAnsi="宋体" w:eastAsia="宋体" w:cs="宋体"/>
                <w:color w:val="auto"/>
                <w:sz w:val="18"/>
                <w:szCs w:val="18"/>
                <w:lang w:val="zh-CN"/>
              </w:rPr>
            </w:pPr>
            <w:r>
              <w:rPr>
                <w:rFonts w:hint="eastAsia" w:ascii="宋体" w:hAnsi="宋体" w:eastAsia="宋体" w:cs="宋体"/>
                <w:color w:val="auto"/>
                <w:sz w:val="18"/>
                <w:szCs w:val="18"/>
              </w:rPr>
              <w:t>包括仪态礼仪训练、仪容礼仪训练、语言沟通模拟训练、非语言沟通模拟训 练、老年人生活照料训练、老年人精神慰藉训练等。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15"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24</w:t>
            </w:r>
          </w:p>
        </w:tc>
        <w:tc>
          <w:tcPr>
            <w:tcW w:w="1050" w:type="dxa"/>
            <w:vAlign w:val="center"/>
          </w:tcPr>
          <w:p>
            <w:pPr>
              <w:jc w:val="center"/>
              <w:rPr>
                <w:rFonts w:hint="eastAsia" w:ascii="宋体" w:hAnsi="宋体" w:eastAsia="宋体" w:cs="宋体"/>
                <w:color w:val="auto"/>
                <w:sz w:val="18"/>
                <w:szCs w:val="18"/>
                <w:lang w:val="zh-CN"/>
              </w:rPr>
            </w:pPr>
            <w:r>
              <w:rPr>
                <w:rFonts w:hint="eastAsia" w:ascii="宋体" w:hAnsi="宋体" w:eastAsia="宋体" w:cs="宋体"/>
                <w:color w:val="auto"/>
                <w:sz w:val="18"/>
                <w:szCs w:val="18"/>
              </w:rPr>
              <w:t>老年健康照护实训</w:t>
            </w:r>
          </w:p>
        </w:tc>
        <w:tc>
          <w:tcPr>
            <w:tcW w:w="543"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68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32</w:t>
            </w:r>
          </w:p>
        </w:tc>
        <w:tc>
          <w:tcPr>
            <w:tcW w:w="3564"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rPr>
              <w:t>培养学生对老年人的身体、心里、社会文化进行健康评估的能力，培养学生为老年人进行保健和健康教育的能力，培养学生为患有常见疾病的老年人进行身心照护的能力。</w:t>
            </w:r>
          </w:p>
        </w:tc>
        <w:tc>
          <w:tcPr>
            <w:tcW w:w="3692" w:type="dxa"/>
            <w:vAlign w:val="center"/>
          </w:tcPr>
          <w:p>
            <w:pPr>
              <w:jc w:val="left"/>
              <w:rPr>
                <w:rFonts w:hint="eastAsia" w:ascii="宋体" w:hAnsi="宋体" w:eastAsia="宋体" w:cs="宋体"/>
                <w:color w:val="auto"/>
                <w:sz w:val="18"/>
                <w:szCs w:val="18"/>
                <w:lang w:val="zh-CN"/>
              </w:rPr>
            </w:pPr>
            <w:r>
              <w:rPr>
                <w:rFonts w:hint="eastAsia" w:ascii="宋体" w:hAnsi="宋体" w:eastAsia="宋体" w:cs="宋体"/>
                <w:color w:val="auto"/>
                <w:sz w:val="18"/>
                <w:szCs w:val="18"/>
              </w:rPr>
              <w:t>实训主要内容包括为老年人提供适宜的居室环境，满足老年人清洁卫生需要， 满足老年人休息与睡眠需要，满足老年人安全移动的需要，生命体征评估及异常时的照护，紧急救护技术。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1"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25</w:t>
            </w:r>
          </w:p>
        </w:tc>
        <w:tc>
          <w:tcPr>
            <w:tcW w:w="1050" w:type="dxa"/>
            <w:vAlign w:val="center"/>
          </w:tcPr>
          <w:p>
            <w:pPr>
              <w:jc w:val="center"/>
              <w:rPr>
                <w:rFonts w:hint="eastAsia" w:ascii="宋体" w:hAnsi="宋体" w:eastAsia="宋体" w:cs="宋体"/>
                <w:color w:val="auto"/>
                <w:sz w:val="18"/>
                <w:szCs w:val="18"/>
              </w:rPr>
            </w:pPr>
          </w:p>
          <w:p>
            <w:pPr>
              <w:jc w:val="center"/>
              <w:rPr>
                <w:rFonts w:hint="eastAsia" w:ascii="宋体" w:hAnsi="宋体" w:eastAsia="宋体" w:cs="宋体"/>
                <w:color w:val="auto"/>
                <w:sz w:val="18"/>
                <w:szCs w:val="18"/>
              </w:rPr>
            </w:pPr>
          </w:p>
          <w:p>
            <w:pPr>
              <w:jc w:val="center"/>
              <w:rPr>
                <w:rFonts w:hint="eastAsia" w:ascii="宋体" w:hAnsi="宋体" w:eastAsia="宋体" w:cs="宋体"/>
                <w:color w:val="auto"/>
                <w:sz w:val="18"/>
                <w:szCs w:val="18"/>
                <w:lang w:val="zh-CN"/>
              </w:rPr>
            </w:pPr>
            <w:r>
              <w:rPr>
                <w:rFonts w:hint="eastAsia" w:ascii="宋体" w:hAnsi="宋体" w:eastAsia="宋体" w:cs="宋体"/>
                <w:color w:val="auto"/>
                <w:sz w:val="18"/>
                <w:szCs w:val="18"/>
              </w:rPr>
              <w:t>老年活动策划实训</w:t>
            </w:r>
          </w:p>
        </w:tc>
        <w:tc>
          <w:tcPr>
            <w:tcW w:w="543"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68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32</w:t>
            </w:r>
          </w:p>
        </w:tc>
        <w:tc>
          <w:tcPr>
            <w:tcW w:w="3564" w:type="dxa"/>
            <w:vAlign w:val="center"/>
          </w:tcPr>
          <w:p>
            <w:pPr>
              <w:jc w:val="left"/>
              <w:rPr>
                <w:rFonts w:hint="eastAsia" w:ascii="宋体" w:hAnsi="宋体" w:eastAsia="宋体" w:cs="宋体"/>
                <w:color w:val="auto"/>
                <w:sz w:val="18"/>
                <w:szCs w:val="18"/>
                <w:lang w:val="zh-CN"/>
              </w:rPr>
            </w:pPr>
            <w:r>
              <w:rPr>
                <w:rFonts w:hint="eastAsia" w:ascii="宋体" w:hAnsi="宋体" w:eastAsia="宋体" w:cs="宋体"/>
                <w:color w:val="auto"/>
                <w:sz w:val="18"/>
                <w:szCs w:val="18"/>
              </w:rPr>
              <w:t>熟悉老年活动操作的基本过程，培养学生统领项目全局的能力；使学生熟悉如何进行老年活动的总体方案设计、可行性分析能力；使学生了解并努力培养进行老年活动流程中应具备的认知能力、组织与策划能力、系统、全面分析问题的能力、组织协调能力等必备能力。</w:t>
            </w:r>
          </w:p>
        </w:tc>
        <w:tc>
          <w:tcPr>
            <w:tcW w:w="3692" w:type="dxa"/>
            <w:vAlign w:val="center"/>
          </w:tcPr>
          <w:p>
            <w:pPr>
              <w:jc w:val="left"/>
              <w:rPr>
                <w:rFonts w:hint="eastAsia" w:ascii="宋体" w:hAnsi="宋体" w:eastAsia="宋体" w:cs="宋体"/>
                <w:color w:val="auto"/>
                <w:sz w:val="18"/>
                <w:szCs w:val="18"/>
                <w:lang w:val="zh-CN"/>
              </w:rPr>
            </w:pPr>
            <w:r>
              <w:rPr>
                <w:rFonts w:hint="eastAsia" w:ascii="宋体" w:hAnsi="宋体" w:eastAsia="宋体" w:cs="宋体"/>
                <w:color w:val="auto"/>
                <w:sz w:val="18"/>
                <w:szCs w:val="18"/>
              </w:rPr>
              <w:t>策划组织老年人学习类活动，策划组织老年人竞赛类活动，策划组织老年人观赏类活动工，策划组织老年人展示类活动，策划组织老年人茶话会活动，策划组织老年人外出类活动。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8"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26</w:t>
            </w:r>
          </w:p>
        </w:tc>
        <w:tc>
          <w:tcPr>
            <w:tcW w:w="1050" w:type="dxa"/>
            <w:vAlign w:val="center"/>
          </w:tcPr>
          <w:p>
            <w:pPr>
              <w:jc w:val="center"/>
              <w:rPr>
                <w:rFonts w:hint="eastAsia" w:ascii="宋体" w:hAnsi="宋体" w:eastAsia="宋体" w:cs="宋体"/>
                <w:color w:val="auto"/>
                <w:sz w:val="18"/>
                <w:szCs w:val="18"/>
                <w:lang w:val="zh-CN"/>
              </w:rPr>
            </w:pPr>
            <w:r>
              <w:rPr>
                <w:rFonts w:hint="eastAsia" w:ascii="宋体" w:hAnsi="宋体" w:eastAsia="宋体" w:cs="宋体"/>
                <w:color w:val="auto"/>
                <w:sz w:val="18"/>
                <w:szCs w:val="18"/>
              </w:rPr>
              <w:t>老年生活照护实训</w:t>
            </w:r>
          </w:p>
        </w:tc>
        <w:tc>
          <w:tcPr>
            <w:tcW w:w="543"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68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32</w:t>
            </w:r>
          </w:p>
        </w:tc>
        <w:tc>
          <w:tcPr>
            <w:tcW w:w="3564" w:type="dxa"/>
            <w:vAlign w:val="center"/>
          </w:tcPr>
          <w:p>
            <w:pPr>
              <w:jc w:val="left"/>
              <w:rPr>
                <w:rFonts w:hint="eastAsia" w:ascii="宋体" w:hAnsi="宋体" w:eastAsia="宋体" w:cs="宋体"/>
                <w:color w:val="auto"/>
                <w:sz w:val="18"/>
                <w:szCs w:val="18"/>
                <w:lang w:val="zh-CN"/>
              </w:rPr>
            </w:pPr>
            <w:r>
              <w:rPr>
                <w:rFonts w:hint="eastAsia" w:ascii="宋体" w:hAnsi="宋体" w:eastAsia="宋体" w:cs="宋体"/>
                <w:color w:val="auto"/>
                <w:sz w:val="18"/>
                <w:szCs w:val="18"/>
              </w:rPr>
              <w:t>通过一定器械和条件的限制辅助，模拟出老年人在日常生活中尤其是衣、食、住、行和用药、活动等方面可能遇到的问题，以实际案例的形式引导学生理论结合实践，正确地对老年人进行科学有效的生活照护，满足老年人特定的生活条件诉求。</w:t>
            </w:r>
          </w:p>
        </w:tc>
        <w:tc>
          <w:tcPr>
            <w:tcW w:w="3692" w:type="dxa"/>
            <w:vAlign w:val="center"/>
          </w:tcPr>
          <w:p>
            <w:pPr>
              <w:jc w:val="left"/>
              <w:rPr>
                <w:rFonts w:hint="eastAsia" w:ascii="宋体" w:hAnsi="宋体" w:eastAsia="宋体" w:cs="宋体"/>
                <w:color w:val="auto"/>
                <w:sz w:val="18"/>
                <w:szCs w:val="18"/>
                <w:lang w:val="zh-CN"/>
              </w:rPr>
            </w:pPr>
            <w:r>
              <w:rPr>
                <w:rFonts w:hint="eastAsia" w:ascii="宋体" w:hAnsi="宋体" w:eastAsia="宋体" w:cs="宋体"/>
                <w:color w:val="auto"/>
                <w:sz w:val="18"/>
                <w:szCs w:val="18"/>
              </w:rPr>
              <w:t>主要包括日常的消毒隔离；老年人的饮食营养与饮食护理；老年人的身体清洁照料；体位变换与移动；老年人的穿着照料；老年性痴呆者的护理；老年人的睡眠护理；老年人体位转移以及抱扶技巧；老年人常见急危重症的公众紧急救护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21"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27</w:t>
            </w:r>
          </w:p>
        </w:tc>
        <w:tc>
          <w:tcPr>
            <w:tcW w:w="1050" w:type="dxa"/>
            <w:vAlign w:val="center"/>
          </w:tcPr>
          <w:p>
            <w:pPr>
              <w:jc w:val="center"/>
              <w:rPr>
                <w:rFonts w:hint="eastAsia" w:ascii="宋体" w:hAnsi="宋体" w:eastAsia="宋体" w:cs="宋体"/>
                <w:color w:val="auto"/>
                <w:sz w:val="18"/>
                <w:szCs w:val="18"/>
              </w:rPr>
            </w:pPr>
          </w:p>
          <w:p>
            <w:pPr>
              <w:jc w:val="center"/>
              <w:rPr>
                <w:rFonts w:hint="eastAsia" w:ascii="宋体" w:hAnsi="宋体" w:eastAsia="宋体" w:cs="宋体"/>
                <w:color w:val="auto"/>
                <w:sz w:val="18"/>
                <w:szCs w:val="18"/>
                <w:lang w:val="zh-CN"/>
              </w:rPr>
            </w:pPr>
            <w:r>
              <w:rPr>
                <w:rFonts w:hint="eastAsia" w:ascii="宋体" w:hAnsi="宋体" w:eastAsia="宋体" w:cs="宋体"/>
                <w:color w:val="auto"/>
                <w:sz w:val="18"/>
                <w:szCs w:val="18"/>
              </w:rPr>
              <w:t>老年心理护理实训</w:t>
            </w:r>
          </w:p>
        </w:tc>
        <w:tc>
          <w:tcPr>
            <w:tcW w:w="543"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68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32</w:t>
            </w:r>
          </w:p>
        </w:tc>
        <w:tc>
          <w:tcPr>
            <w:tcW w:w="3564" w:type="dxa"/>
            <w:vAlign w:val="center"/>
          </w:tcPr>
          <w:p>
            <w:pPr>
              <w:jc w:val="left"/>
              <w:rPr>
                <w:rFonts w:hint="eastAsia" w:ascii="宋体" w:hAnsi="宋体" w:eastAsia="宋体" w:cs="宋体"/>
                <w:color w:val="auto"/>
                <w:sz w:val="18"/>
                <w:szCs w:val="18"/>
                <w:lang w:val="zh-CN"/>
              </w:rPr>
            </w:pPr>
            <w:r>
              <w:rPr>
                <w:rFonts w:hint="eastAsia" w:ascii="宋体" w:hAnsi="宋体" w:eastAsia="宋体" w:cs="宋体"/>
                <w:color w:val="auto"/>
                <w:sz w:val="18"/>
                <w:szCs w:val="18"/>
              </w:rPr>
              <w:t>突出以实际操作能力培养为核心，以“职业技能培训、岗位技能培训”需求为导向，依据工作岗位的实际需求，逐渐提高学生基本素质，掌握养老护理核心知识与技能。</w:t>
            </w:r>
          </w:p>
        </w:tc>
        <w:tc>
          <w:tcPr>
            <w:tcW w:w="3692" w:type="dxa"/>
            <w:vAlign w:val="center"/>
          </w:tcPr>
          <w:p>
            <w:pPr>
              <w:jc w:val="left"/>
              <w:rPr>
                <w:rFonts w:hint="eastAsia" w:ascii="宋体" w:hAnsi="宋体" w:eastAsia="宋体" w:cs="宋体"/>
                <w:color w:val="auto"/>
                <w:sz w:val="18"/>
                <w:szCs w:val="18"/>
                <w:lang w:val="zh-CN"/>
              </w:rPr>
            </w:pPr>
            <w:r>
              <w:rPr>
                <w:rFonts w:hint="eastAsia" w:ascii="宋体" w:hAnsi="宋体" w:eastAsia="宋体" w:cs="宋体"/>
                <w:color w:val="auto"/>
                <w:sz w:val="18"/>
                <w:szCs w:val="18"/>
              </w:rPr>
              <w:t>实训主要内容包括针对老人常见的心理问题进行案例的分析与操作，让学生在情景中可以模拟训练，并附有评价标准，方便教师对学生进行评价；向学生介绍临终关怀，接受死亡教育，模拟培养学生的爱心，场景沟通训练与肢体安抚技能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9"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28</w:t>
            </w:r>
          </w:p>
        </w:tc>
        <w:tc>
          <w:tcPr>
            <w:tcW w:w="1050" w:type="dxa"/>
            <w:vAlign w:val="center"/>
          </w:tcPr>
          <w:p>
            <w:pPr>
              <w:jc w:val="center"/>
              <w:rPr>
                <w:rFonts w:hint="eastAsia" w:ascii="宋体" w:hAnsi="宋体" w:eastAsia="宋体" w:cs="宋体"/>
                <w:color w:val="auto"/>
                <w:sz w:val="18"/>
                <w:szCs w:val="18"/>
                <w:lang w:val="zh-CN"/>
              </w:rPr>
            </w:pPr>
            <w:r>
              <w:rPr>
                <w:rFonts w:hint="eastAsia" w:ascii="宋体" w:hAnsi="宋体" w:eastAsia="宋体" w:cs="宋体"/>
                <w:color w:val="auto"/>
                <w:sz w:val="18"/>
                <w:szCs w:val="18"/>
              </w:rPr>
              <w:t>养老护理技术实训</w:t>
            </w:r>
          </w:p>
        </w:tc>
        <w:tc>
          <w:tcPr>
            <w:tcW w:w="543"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68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32</w:t>
            </w:r>
          </w:p>
        </w:tc>
        <w:tc>
          <w:tcPr>
            <w:tcW w:w="3564" w:type="dxa"/>
            <w:vAlign w:val="center"/>
          </w:tcPr>
          <w:p>
            <w:pPr>
              <w:jc w:val="left"/>
              <w:rPr>
                <w:rFonts w:hint="eastAsia" w:ascii="宋体" w:hAnsi="宋体" w:eastAsia="宋体" w:cs="宋体"/>
                <w:color w:val="auto"/>
                <w:sz w:val="18"/>
                <w:szCs w:val="18"/>
                <w:lang w:val="zh-CN"/>
              </w:rPr>
            </w:pPr>
            <w:r>
              <w:rPr>
                <w:rFonts w:hint="eastAsia" w:ascii="宋体" w:hAnsi="宋体" w:eastAsia="宋体" w:cs="宋体"/>
                <w:color w:val="auto"/>
                <w:sz w:val="18"/>
                <w:szCs w:val="18"/>
              </w:rPr>
              <w:t>通过对中医基本理论和养生保健发展的讲授，使学生了解中医养生保健的文化根源，掌握中医养生保健概念，熟悉多种养生保健方法并能够依据实际情况拟定养生保健方案和计划。</w:t>
            </w:r>
          </w:p>
        </w:tc>
        <w:tc>
          <w:tcPr>
            <w:tcW w:w="3692" w:type="dxa"/>
            <w:vAlign w:val="center"/>
          </w:tcPr>
          <w:p>
            <w:pPr>
              <w:jc w:val="left"/>
              <w:rPr>
                <w:rFonts w:hint="eastAsia" w:ascii="宋体" w:hAnsi="宋体" w:eastAsia="宋体" w:cs="宋体"/>
                <w:color w:val="auto"/>
                <w:sz w:val="18"/>
                <w:szCs w:val="18"/>
                <w:lang w:val="zh-CN"/>
              </w:rPr>
            </w:pPr>
            <w:r>
              <w:rPr>
                <w:rFonts w:hint="eastAsia" w:ascii="宋体" w:hAnsi="宋体" w:eastAsia="宋体" w:cs="宋体"/>
                <w:color w:val="auto"/>
                <w:sz w:val="18"/>
                <w:szCs w:val="18"/>
              </w:rPr>
              <w:t>课程包含中医基本理论、经络腧穴概 论、养生概念及发展，中医四季养生、饮食养生、运动养生、体质养生、穴位养生等养生方法。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0"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39</w:t>
            </w:r>
          </w:p>
        </w:tc>
        <w:tc>
          <w:tcPr>
            <w:tcW w:w="105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老年人膳食与</w:t>
            </w:r>
          </w:p>
          <w:p>
            <w:pPr>
              <w:jc w:val="center"/>
              <w:rPr>
                <w:rFonts w:hint="eastAsia" w:ascii="宋体" w:hAnsi="宋体" w:eastAsia="宋体" w:cs="宋体"/>
                <w:color w:val="auto"/>
                <w:sz w:val="18"/>
                <w:szCs w:val="18"/>
                <w:lang w:val="zh-CN"/>
              </w:rPr>
            </w:pPr>
            <w:r>
              <w:rPr>
                <w:rFonts w:hint="eastAsia" w:ascii="宋体" w:hAnsi="宋体" w:eastAsia="宋体" w:cs="宋体"/>
                <w:color w:val="auto"/>
                <w:sz w:val="18"/>
                <w:szCs w:val="18"/>
              </w:rPr>
              <w:t>营养配餐实训</w:t>
            </w:r>
          </w:p>
        </w:tc>
        <w:tc>
          <w:tcPr>
            <w:tcW w:w="543"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68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32</w:t>
            </w:r>
          </w:p>
        </w:tc>
        <w:tc>
          <w:tcPr>
            <w:tcW w:w="3564" w:type="dxa"/>
            <w:vAlign w:val="center"/>
          </w:tcPr>
          <w:p>
            <w:pPr>
              <w:jc w:val="left"/>
              <w:rPr>
                <w:rFonts w:hint="eastAsia" w:ascii="宋体" w:hAnsi="宋体" w:eastAsia="宋体" w:cs="宋体"/>
                <w:color w:val="auto"/>
                <w:sz w:val="18"/>
                <w:szCs w:val="18"/>
                <w:lang w:val="zh-CN"/>
              </w:rPr>
            </w:pPr>
            <w:r>
              <w:rPr>
                <w:rFonts w:hint="eastAsia" w:ascii="宋体" w:hAnsi="宋体" w:eastAsia="宋体" w:cs="宋体"/>
                <w:color w:val="auto"/>
                <w:sz w:val="18"/>
                <w:szCs w:val="18"/>
              </w:rPr>
              <w:t>突出以实际操作能力培养为核心，以 “职业技能培训、岗位技能培训”需求为导向，依据工作岗位的实际需求，逐渐提高学生基本素质，掌握核心知识与技能。</w:t>
            </w:r>
          </w:p>
        </w:tc>
        <w:tc>
          <w:tcPr>
            <w:tcW w:w="3692" w:type="dxa"/>
            <w:vAlign w:val="center"/>
          </w:tcPr>
          <w:p>
            <w:pPr>
              <w:jc w:val="left"/>
              <w:rPr>
                <w:rFonts w:hint="eastAsia" w:ascii="宋体" w:hAnsi="宋体" w:eastAsia="宋体" w:cs="宋体"/>
                <w:color w:val="auto"/>
                <w:sz w:val="18"/>
                <w:szCs w:val="18"/>
                <w:lang w:val="zh-CN"/>
              </w:rPr>
            </w:pPr>
            <w:r>
              <w:rPr>
                <w:rFonts w:hint="eastAsia" w:ascii="宋体" w:hAnsi="宋体" w:eastAsia="宋体" w:cs="宋体"/>
                <w:color w:val="auto"/>
                <w:sz w:val="18"/>
                <w:szCs w:val="18"/>
              </w:rPr>
              <w:t>包括老年人所需营养素的认知及能量需求、老年人常见食物的营养价值认知、老年人的合理营养与平衡膳食、调查与评价老年人膳食营养状况、老年人营养配餐与食谱编制、老年人常见病的饮食调养、老年人的膳食指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68"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30</w:t>
            </w:r>
          </w:p>
        </w:tc>
        <w:tc>
          <w:tcPr>
            <w:tcW w:w="1050" w:type="dxa"/>
            <w:vAlign w:val="center"/>
          </w:tcPr>
          <w:p>
            <w:pPr>
              <w:jc w:val="center"/>
              <w:rPr>
                <w:rFonts w:hint="eastAsia" w:ascii="宋体" w:hAnsi="宋体" w:eastAsia="宋体" w:cs="宋体"/>
                <w:color w:val="auto"/>
                <w:sz w:val="18"/>
                <w:szCs w:val="18"/>
                <w:lang w:val="zh-CN"/>
              </w:rPr>
            </w:pPr>
            <w:r>
              <w:rPr>
                <w:rFonts w:hint="eastAsia" w:ascii="宋体" w:hAnsi="宋体" w:eastAsia="宋体" w:cs="宋体"/>
                <w:color w:val="auto"/>
                <w:sz w:val="18"/>
                <w:szCs w:val="18"/>
              </w:rPr>
              <w:t>健康管理实训</w:t>
            </w:r>
          </w:p>
        </w:tc>
        <w:tc>
          <w:tcPr>
            <w:tcW w:w="543"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68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32</w:t>
            </w:r>
          </w:p>
        </w:tc>
        <w:tc>
          <w:tcPr>
            <w:tcW w:w="3564" w:type="dxa"/>
            <w:vAlign w:val="center"/>
          </w:tcPr>
          <w:p>
            <w:pPr>
              <w:jc w:val="left"/>
              <w:rPr>
                <w:rFonts w:hint="eastAsia" w:ascii="宋体" w:hAnsi="宋体" w:eastAsia="宋体" w:cs="宋体"/>
                <w:color w:val="auto"/>
                <w:sz w:val="18"/>
                <w:szCs w:val="18"/>
                <w:lang w:val="zh-CN"/>
              </w:rPr>
            </w:pPr>
            <w:r>
              <w:rPr>
                <w:rFonts w:hint="eastAsia" w:ascii="宋体" w:hAnsi="宋体" w:eastAsia="宋体" w:cs="宋体"/>
                <w:color w:val="auto"/>
                <w:sz w:val="18"/>
                <w:szCs w:val="18"/>
              </w:rPr>
              <w:t>掌握老年人健康管理的养老服务内容及运作流程，具备基本的居家养老服务的知识与技能，树立服务意识、成本意识和经营意识，增强动手操作能力、动脑策划能力以及自主经营管理能力。也为学生树立终身学习和持续发展打下扎实的基础，并通过多种学习方式兼顾其他能力的培养。</w:t>
            </w:r>
          </w:p>
        </w:tc>
        <w:tc>
          <w:tcPr>
            <w:tcW w:w="3692" w:type="dxa"/>
            <w:vAlign w:val="center"/>
          </w:tcPr>
          <w:p>
            <w:pPr>
              <w:jc w:val="left"/>
              <w:rPr>
                <w:rFonts w:hint="eastAsia" w:ascii="宋体" w:hAnsi="宋体" w:eastAsia="宋体" w:cs="宋体"/>
                <w:color w:val="auto"/>
                <w:sz w:val="18"/>
                <w:szCs w:val="18"/>
                <w:lang w:val="zh-CN"/>
              </w:rPr>
            </w:pPr>
            <w:r>
              <w:rPr>
                <w:rFonts w:hint="eastAsia" w:ascii="宋体" w:hAnsi="宋体" w:eastAsia="宋体" w:cs="宋体"/>
                <w:color w:val="auto"/>
                <w:sz w:val="18"/>
                <w:szCs w:val="18"/>
              </w:rPr>
              <w:t>主要内容包括居基本内容、服务方式、评估体系、人才培养、组织与管理、产业化等内容。居家养老生活照料服务内容与标准、老化预防、老年居家康复， 以及老年高血压、糖尿病、痴呆症等老年常见慢性病的健康管理和居家照护。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5" w:hRule="atLeast"/>
          <w:jc w:val="center"/>
        </w:trPr>
        <w:tc>
          <w:tcPr>
            <w:tcW w:w="545" w:type="dxa"/>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31</w:t>
            </w:r>
          </w:p>
        </w:tc>
        <w:tc>
          <w:tcPr>
            <w:tcW w:w="1050" w:type="dxa"/>
            <w:vAlign w:val="center"/>
          </w:tcPr>
          <w:p>
            <w:pPr>
              <w:jc w:val="center"/>
              <w:rPr>
                <w:rFonts w:hint="eastAsia" w:ascii="宋体" w:hAnsi="宋体" w:eastAsia="宋体" w:cs="宋体"/>
                <w:color w:val="auto"/>
                <w:sz w:val="18"/>
                <w:szCs w:val="18"/>
                <w:lang w:val="zh-CN"/>
              </w:rPr>
            </w:pPr>
            <w:r>
              <w:rPr>
                <w:rFonts w:hint="eastAsia" w:ascii="宋体" w:hAnsi="宋体" w:eastAsia="宋体" w:cs="宋体"/>
                <w:color w:val="auto"/>
                <w:sz w:val="18"/>
                <w:szCs w:val="18"/>
              </w:rPr>
              <w:t>临终关怀实训</w:t>
            </w:r>
          </w:p>
        </w:tc>
        <w:tc>
          <w:tcPr>
            <w:tcW w:w="543"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680" w:type="dxa"/>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32</w:t>
            </w:r>
          </w:p>
        </w:tc>
        <w:tc>
          <w:tcPr>
            <w:tcW w:w="3564" w:type="dxa"/>
            <w:vAlign w:val="center"/>
          </w:tcPr>
          <w:p>
            <w:pPr>
              <w:jc w:val="left"/>
              <w:rPr>
                <w:rFonts w:hint="eastAsia" w:ascii="宋体" w:hAnsi="宋体" w:eastAsia="宋体" w:cs="宋体"/>
                <w:color w:val="auto"/>
                <w:sz w:val="18"/>
                <w:szCs w:val="18"/>
                <w:lang w:val="zh-CN"/>
              </w:rPr>
            </w:pPr>
            <w:r>
              <w:rPr>
                <w:rFonts w:hint="eastAsia" w:ascii="宋体" w:hAnsi="宋体" w:eastAsia="宋体" w:cs="宋体"/>
                <w:color w:val="auto"/>
                <w:sz w:val="18"/>
                <w:szCs w:val="18"/>
              </w:rPr>
              <w:t>注重提高学生的职业道德素质和伦理分析、决策能力，增加学生预防保健与康复护理道德、护理管理中的伦理道德。为学生提供正确的价值导向，树立“以人为本，关怀照顾”的人道情怀，提高护德修养，增强伦理决策能力。</w:t>
            </w:r>
          </w:p>
        </w:tc>
        <w:tc>
          <w:tcPr>
            <w:tcW w:w="3692" w:type="dxa"/>
            <w:vAlign w:val="center"/>
          </w:tcPr>
          <w:p>
            <w:pPr>
              <w:jc w:val="left"/>
              <w:rPr>
                <w:rFonts w:hint="eastAsia" w:ascii="宋体" w:hAnsi="宋体" w:eastAsia="宋体" w:cs="宋体"/>
                <w:color w:val="auto"/>
                <w:sz w:val="18"/>
                <w:szCs w:val="18"/>
                <w:lang w:val="zh-CN" w:eastAsia="zh-CN"/>
              </w:rPr>
            </w:pPr>
            <w:r>
              <w:rPr>
                <w:rFonts w:hint="eastAsia" w:ascii="宋体" w:hAnsi="宋体" w:eastAsia="宋体" w:cs="宋体"/>
                <w:color w:val="auto"/>
                <w:sz w:val="18"/>
                <w:szCs w:val="18"/>
              </w:rPr>
              <w:t>主要包括照护伦理学的哲学前提与理论基础，照护伦理原则，照护道德规范和范畴，照护人际关系道德，照护实践中的伦理道德，照护管理中的伦理道德， 生殖与性的伦理道德，安乐死与临终关怀道德，法律与伦理，照护道德修养与评价。课堂教学要加强案例分析和伦理争论研讨，要开拓学生的伦理视野</w:t>
            </w:r>
            <w:r>
              <w:rPr>
                <w:rFonts w:hint="eastAsia" w:ascii="宋体" w:hAnsi="宋体" w:eastAsia="宋体" w:cs="宋体"/>
                <w:color w:val="auto"/>
                <w:sz w:val="18"/>
                <w:szCs w:val="18"/>
                <w:lang w:eastAsia="zh-CN"/>
              </w:rPr>
              <w:t>。</w:t>
            </w:r>
          </w:p>
        </w:tc>
      </w:tr>
    </w:tbl>
    <w:p>
      <w:pPr>
        <w:rPr>
          <w:rFonts w:hint="eastAsia" w:ascii="仿宋" w:hAnsi="仿宋" w:eastAsia="仿宋" w:cs="仿宋"/>
          <w:b/>
          <w:color w:val="auto"/>
          <w:sz w:val="30"/>
          <w:szCs w:val="30"/>
        </w:rPr>
      </w:pPr>
      <w:r>
        <w:rPr>
          <w:rFonts w:hint="eastAsia" w:ascii="仿宋" w:hAnsi="仿宋" w:eastAsia="仿宋" w:cs="仿宋"/>
          <w:b/>
          <w:color w:val="auto"/>
          <w:sz w:val="30"/>
          <w:szCs w:val="30"/>
        </w:rPr>
        <w:br w:type="page"/>
      </w:r>
    </w:p>
    <w:p>
      <w:pPr>
        <w:pStyle w:val="4"/>
        <w:bidi w:val="0"/>
        <w:rPr>
          <w:color w:val="auto"/>
        </w:rPr>
      </w:pPr>
      <w:bookmarkStart w:id="31" w:name="_Toc21710"/>
      <w:bookmarkStart w:id="32" w:name="_Toc7679"/>
      <w:r>
        <w:rPr>
          <w:rFonts w:hint="eastAsia"/>
          <w:color w:val="auto"/>
        </w:rPr>
        <w:t>七、学时安排</w:t>
      </w:r>
      <w:bookmarkEnd w:id="31"/>
      <w:bookmarkEnd w:id="32"/>
    </w:p>
    <w:p>
      <w:pPr>
        <w:pStyle w:val="5"/>
        <w:bidi w:val="0"/>
        <w:rPr>
          <w:color w:val="auto"/>
        </w:rPr>
      </w:pPr>
      <w:bookmarkStart w:id="33" w:name="_Toc1142"/>
      <w:bookmarkStart w:id="34" w:name="_Toc17714"/>
      <w:r>
        <w:rPr>
          <w:rFonts w:hint="eastAsia"/>
          <w:color w:val="auto"/>
        </w:rPr>
        <w:t>（一）教学活动周进程安排表</w:t>
      </w:r>
      <w:bookmarkEnd w:id="33"/>
      <w:bookmarkEnd w:id="34"/>
    </w:p>
    <w:p>
      <w:pPr>
        <w:pStyle w:val="7"/>
        <w:bidi w:val="0"/>
        <w:rPr>
          <w:color w:val="auto"/>
          <w:lang w:val="en-US"/>
        </w:rPr>
      </w:pPr>
      <w:bookmarkStart w:id="35" w:name="_Toc2858"/>
      <w:r>
        <w:rPr>
          <w:rFonts w:hint="eastAsia"/>
          <w:color w:val="auto"/>
        </w:rPr>
        <w:t>表</w:t>
      </w:r>
      <w:r>
        <w:rPr>
          <w:rFonts w:hint="eastAsia"/>
          <w:color w:val="auto"/>
          <w:lang w:val="en-US" w:eastAsia="zh-CN"/>
        </w:rPr>
        <w:t>4</w:t>
      </w:r>
      <w:r>
        <w:rPr>
          <w:rFonts w:hint="eastAsia"/>
          <w:color w:val="auto"/>
          <w:lang w:val="en-US"/>
        </w:rPr>
        <w:t xml:space="preserve"> 教学活动周进程安排</w:t>
      </w:r>
      <w:r>
        <w:rPr>
          <w:rFonts w:hint="eastAsia"/>
          <w:color w:val="auto"/>
        </w:rPr>
        <w:t>表</w:t>
      </w:r>
      <w:bookmarkEnd w:id="35"/>
    </w:p>
    <w:tbl>
      <w:tblPr>
        <w:tblStyle w:val="16"/>
        <w:tblW w:w="538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1168"/>
        <w:gridCol w:w="1607"/>
        <w:gridCol w:w="759"/>
        <w:gridCol w:w="759"/>
        <w:gridCol w:w="759"/>
        <w:gridCol w:w="759"/>
        <w:gridCol w:w="811"/>
        <w:gridCol w:w="1512"/>
        <w:gridCol w:w="1200"/>
        <w:gridCol w:w="14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4" w:hRule="atLeast"/>
          <w:jc w:val="center"/>
        </w:trPr>
        <w:tc>
          <w:tcPr>
            <w:tcW w:w="540" w:type="pct"/>
            <w:vMerge w:val="restart"/>
            <w:tcBorders>
              <w:right w:val="single" w:color="000000" w:sz="4" w:space="0"/>
            </w:tcBorders>
            <w:vAlign w:val="center"/>
          </w:tcPr>
          <w:p>
            <w:pPr>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学期</w:t>
            </w:r>
          </w:p>
        </w:tc>
        <w:tc>
          <w:tcPr>
            <w:tcW w:w="743" w:type="pct"/>
            <w:vMerge w:val="restart"/>
            <w:tcBorders>
              <w:left w:val="single" w:color="000000" w:sz="4" w:space="0"/>
              <w:right w:val="single" w:color="000000" w:sz="4" w:space="0"/>
            </w:tcBorders>
            <w:vAlign w:val="center"/>
          </w:tcPr>
          <w:p>
            <w:pPr>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课堂教学环节</w:t>
            </w:r>
          </w:p>
        </w:tc>
        <w:tc>
          <w:tcPr>
            <w:tcW w:w="1779" w:type="pct"/>
            <w:gridSpan w:val="5"/>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集中实践环节</w:t>
            </w:r>
          </w:p>
        </w:tc>
        <w:tc>
          <w:tcPr>
            <w:tcW w:w="699" w:type="pct"/>
            <w:vMerge w:val="restart"/>
            <w:tcBorders>
              <w:left w:val="single" w:color="000000" w:sz="4" w:space="0"/>
              <w:right w:val="single" w:color="000000" w:sz="4" w:space="0"/>
            </w:tcBorders>
            <w:vAlign w:val="center"/>
          </w:tcPr>
          <w:p>
            <w:pPr>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复习考试</w:t>
            </w:r>
          </w:p>
          <w:p>
            <w:pPr>
              <w:jc w:val="center"/>
              <w:rPr>
                <w:rFonts w:hint="eastAsia" w:ascii="宋体" w:hAnsi="宋体" w:eastAsia="宋体" w:cs="宋体"/>
                <w:b/>
                <w:bCs/>
                <w:color w:val="auto"/>
                <w:sz w:val="18"/>
                <w:szCs w:val="18"/>
              </w:rPr>
            </w:pPr>
          </w:p>
        </w:tc>
        <w:tc>
          <w:tcPr>
            <w:tcW w:w="555" w:type="pct"/>
            <w:vMerge w:val="restart"/>
            <w:tcBorders>
              <w:left w:val="single" w:color="000000" w:sz="4" w:space="0"/>
              <w:right w:val="single" w:color="000000" w:sz="4" w:space="0"/>
            </w:tcBorders>
            <w:vAlign w:val="center"/>
          </w:tcPr>
          <w:p>
            <w:pPr>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劳动教育</w:t>
            </w:r>
          </w:p>
          <w:p>
            <w:pPr>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安全教育</w:t>
            </w:r>
          </w:p>
        </w:tc>
        <w:tc>
          <w:tcPr>
            <w:tcW w:w="679" w:type="pct"/>
            <w:vMerge w:val="restart"/>
            <w:tcBorders>
              <w:left w:val="single" w:color="000000" w:sz="4" w:space="0"/>
            </w:tcBorders>
            <w:vAlign w:val="center"/>
          </w:tcPr>
          <w:p>
            <w:pPr>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合计</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6" w:hRule="atLeast"/>
          <w:jc w:val="center"/>
        </w:trPr>
        <w:tc>
          <w:tcPr>
            <w:tcW w:w="540" w:type="pct"/>
            <w:vMerge w:val="continue"/>
            <w:tcBorders>
              <w:top w:val="nil"/>
              <w:right w:val="single" w:color="000000" w:sz="4" w:space="0"/>
            </w:tcBorders>
            <w:vAlign w:val="center"/>
          </w:tcPr>
          <w:p>
            <w:pPr>
              <w:jc w:val="center"/>
              <w:rPr>
                <w:rFonts w:hint="eastAsia" w:ascii="宋体" w:hAnsi="宋体" w:eastAsia="宋体" w:cs="宋体"/>
                <w:color w:val="auto"/>
                <w:sz w:val="18"/>
                <w:szCs w:val="18"/>
              </w:rPr>
            </w:pPr>
          </w:p>
        </w:tc>
        <w:tc>
          <w:tcPr>
            <w:tcW w:w="743" w:type="pct"/>
            <w:vMerge w:val="continue"/>
            <w:tcBorders>
              <w:top w:val="nil"/>
              <w:left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351" w:type="pct"/>
            <w:tcBorders>
              <w:top w:val="single" w:color="000000" w:sz="4" w:space="0"/>
              <w:left w:val="single" w:color="000000" w:sz="4" w:space="0"/>
              <w:right w:val="single" w:color="000000" w:sz="4" w:space="0"/>
            </w:tcBorders>
            <w:vAlign w:val="center"/>
          </w:tcPr>
          <w:p>
            <w:pPr>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军事</w:t>
            </w:r>
          </w:p>
          <w:p>
            <w:pPr>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训练</w:t>
            </w:r>
          </w:p>
        </w:tc>
        <w:tc>
          <w:tcPr>
            <w:tcW w:w="351" w:type="pct"/>
            <w:tcBorders>
              <w:top w:val="single" w:color="000000" w:sz="4" w:space="0"/>
              <w:left w:val="single" w:color="000000" w:sz="4" w:space="0"/>
              <w:right w:val="single" w:color="000000" w:sz="4" w:space="0"/>
            </w:tcBorders>
            <w:vAlign w:val="center"/>
          </w:tcPr>
          <w:p>
            <w:pPr>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认识</w:t>
            </w:r>
          </w:p>
          <w:p>
            <w:pPr>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实习</w:t>
            </w:r>
          </w:p>
        </w:tc>
        <w:tc>
          <w:tcPr>
            <w:tcW w:w="351" w:type="pct"/>
            <w:tcBorders>
              <w:top w:val="single" w:color="000000" w:sz="4" w:space="0"/>
              <w:left w:val="single" w:color="000000" w:sz="4" w:space="0"/>
              <w:right w:val="single" w:color="000000" w:sz="4" w:space="0"/>
            </w:tcBorders>
            <w:vAlign w:val="center"/>
          </w:tcPr>
          <w:p>
            <w:pPr>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跟岗</w:t>
            </w:r>
          </w:p>
          <w:p>
            <w:pPr>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实习</w:t>
            </w:r>
          </w:p>
        </w:tc>
        <w:tc>
          <w:tcPr>
            <w:tcW w:w="351" w:type="pct"/>
            <w:tcBorders>
              <w:top w:val="single" w:color="000000" w:sz="4" w:space="0"/>
              <w:left w:val="single" w:color="000000" w:sz="4" w:space="0"/>
              <w:right w:val="single" w:color="000000" w:sz="4" w:space="0"/>
            </w:tcBorders>
            <w:vAlign w:val="center"/>
          </w:tcPr>
          <w:p>
            <w:pPr>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顶岗</w:t>
            </w:r>
          </w:p>
          <w:p>
            <w:pPr>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实习</w:t>
            </w:r>
          </w:p>
        </w:tc>
        <w:tc>
          <w:tcPr>
            <w:tcW w:w="375" w:type="pct"/>
            <w:tcBorders>
              <w:top w:val="single" w:color="000000" w:sz="4" w:space="0"/>
              <w:left w:val="single" w:color="000000" w:sz="4" w:space="0"/>
              <w:right w:val="single" w:color="000000" w:sz="4" w:space="0"/>
            </w:tcBorders>
            <w:vAlign w:val="center"/>
          </w:tcPr>
          <w:p>
            <w:pPr>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毕业</w:t>
            </w:r>
          </w:p>
          <w:p>
            <w:pPr>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设计</w:t>
            </w:r>
          </w:p>
        </w:tc>
        <w:tc>
          <w:tcPr>
            <w:tcW w:w="699" w:type="pct"/>
            <w:vMerge w:val="continue"/>
            <w:tcBorders>
              <w:top w:val="nil"/>
              <w:left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555" w:type="pct"/>
            <w:vMerge w:val="continue"/>
            <w:tcBorders>
              <w:top w:val="nil"/>
              <w:left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679" w:type="pct"/>
            <w:vMerge w:val="continue"/>
            <w:tcBorders>
              <w:top w:val="nil"/>
              <w:left w:val="single" w:color="000000" w:sz="4" w:space="0"/>
            </w:tcBorders>
            <w:vAlign w:val="center"/>
          </w:tcPr>
          <w:p>
            <w:pPr>
              <w:jc w:val="center"/>
              <w:rPr>
                <w:rFonts w:hint="eastAsia" w:ascii="宋体" w:hAnsi="宋体" w:eastAsia="宋体" w:cs="宋体"/>
                <w:color w:val="auto"/>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3" w:hRule="atLeast"/>
          <w:jc w:val="center"/>
        </w:trPr>
        <w:tc>
          <w:tcPr>
            <w:tcW w:w="540" w:type="pct"/>
            <w:tcBorders>
              <w:bottom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一</w:t>
            </w:r>
          </w:p>
        </w:tc>
        <w:tc>
          <w:tcPr>
            <w:tcW w:w="743" w:type="pct"/>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16</w:t>
            </w:r>
          </w:p>
        </w:tc>
        <w:tc>
          <w:tcPr>
            <w:tcW w:w="351" w:type="pct"/>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2</w:t>
            </w:r>
          </w:p>
        </w:tc>
        <w:tc>
          <w:tcPr>
            <w:tcW w:w="351" w:type="pct"/>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351" w:type="pct"/>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351" w:type="pct"/>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375" w:type="pct"/>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699" w:type="pct"/>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1</w:t>
            </w:r>
          </w:p>
        </w:tc>
        <w:tc>
          <w:tcPr>
            <w:tcW w:w="555" w:type="pct"/>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679" w:type="pct"/>
            <w:tcBorders>
              <w:left w:val="single" w:color="000000" w:sz="4" w:space="0"/>
              <w:bottom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5" w:hRule="atLeast"/>
          <w:jc w:val="center"/>
        </w:trPr>
        <w:tc>
          <w:tcPr>
            <w:tcW w:w="540" w:type="pct"/>
            <w:tcBorders>
              <w:top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二</w:t>
            </w:r>
          </w:p>
        </w:tc>
        <w:tc>
          <w:tcPr>
            <w:tcW w:w="743"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16</w:t>
            </w:r>
          </w:p>
        </w:tc>
        <w:tc>
          <w:tcPr>
            <w:tcW w:w="351"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351"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351"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351"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375"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699"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555"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679" w:type="pct"/>
            <w:tcBorders>
              <w:top w:val="single" w:color="000000" w:sz="4" w:space="0"/>
              <w:left w:val="single" w:color="000000" w:sz="4" w:space="0"/>
              <w:bottom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3" w:hRule="atLeast"/>
          <w:jc w:val="center"/>
        </w:trPr>
        <w:tc>
          <w:tcPr>
            <w:tcW w:w="540" w:type="pct"/>
            <w:tcBorders>
              <w:top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三</w:t>
            </w:r>
          </w:p>
        </w:tc>
        <w:tc>
          <w:tcPr>
            <w:tcW w:w="743"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16</w:t>
            </w:r>
          </w:p>
        </w:tc>
        <w:tc>
          <w:tcPr>
            <w:tcW w:w="351"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351"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351"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351"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375"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699"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555"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679" w:type="pct"/>
            <w:tcBorders>
              <w:top w:val="single" w:color="000000" w:sz="4" w:space="0"/>
              <w:left w:val="single" w:color="000000" w:sz="4" w:space="0"/>
              <w:bottom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3" w:hRule="atLeast"/>
          <w:jc w:val="center"/>
        </w:trPr>
        <w:tc>
          <w:tcPr>
            <w:tcW w:w="540" w:type="pct"/>
            <w:tcBorders>
              <w:top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四</w:t>
            </w:r>
          </w:p>
        </w:tc>
        <w:tc>
          <w:tcPr>
            <w:tcW w:w="743"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16</w:t>
            </w:r>
          </w:p>
        </w:tc>
        <w:tc>
          <w:tcPr>
            <w:tcW w:w="351"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351"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351"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351"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375"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699"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555"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679" w:type="pct"/>
            <w:tcBorders>
              <w:top w:val="single" w:color="000000" w:sz="4" w:space="0"/>
              <w:left w:val="single" w:color="000000" w:sz="4" w:space="0"/>
              <w:bottom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3" w:hRule="atLeast"/>
          <w:jc w:val="center"/>
        </w:trPr>
        <w:tc>
          <w:tcPr>
            <w:tcW w:w="540" w:type="pct"/>
            <w:tcBorders>
              <w:top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五</w:t>
            </w:r>
          </w:p>
        </w:tc>
        <w:tc>
          <w:tcPr>
            <w:tcW w:w="743"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1</w:t>
            </w:r>
            <w:r>
              <w:rPr>
                <w:rFonts w:hint="eastAsia" w:ascii="宋体" w:hAnsi="宋体" w:eastAsia="宋体" w:cs="宋体"/>
                <w:color w:val="auto"/>
                <w:sz w:val="18"/>
                <w:szCs w:val="18"/>
                <w:lang w:val="en-US" w:eastAsia="zh-CN"/>
              </w:rPr>
              <w:t>6</w:t>
            </w:r>
          </w:p>
        </w:tc>
        <w:tc>
          <w:tcPr>
            <w:tcW w:w="351"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351"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351"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2</w:t>
            </w:r>
          </w:p>
        </w:tc>
        <w:tc>
          <w:tcPr>
            <w:tcW w:w="351"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375"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699"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555" w:type="pct"/>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679" w:type="pct"/>
            <w:tcBorders>
              <w:top w:val="single" w:color="000000" w:sz="4" w:space="0"/>
              <w:left w:val="single" w:color="000000" w:sz="4" w:space="0"/>
              <w:bottom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3" w:hRule="atLeast"/>
          <w:jc w:val="center"/>
        </w:trPr>
        <w:tc>
          <w:tcPr>
            <w:tcW w:w="540" w:type="pct"/>
            <w:tcBorders>
              <w:top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六</w:t>
            </w:r>
          </w:p>
        </w:tc>
        <w:tc>
          <w:tcPr>
            <w:tcW w:w="743" w:type="pct"/>
            <w:tcBorders>
              <w:top w:val="single" w:color="000000" w:sz="4" w:space="0"/>
              <w:left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351" w:type="pct"/>
            <w:tcBorders>
              <w:top w:val="single" w:color="000000" w:sz="4" w:space="0"/>
              <w:left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351" w:type="pct"/>
            <w:tcBorders>
              <w:top w:val="single" w:color="000000" w:sz="4" w:space="0"/>
              <w:left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351" w:type="pct"/>
            <w:tcBorders>
              <w:top w:val="single" w:color="000000" w:sz="4" w:space="0"/>
              <w:left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351" w:type="pct"/>
            <w:tcBorders>
              <w:top w:val="single" w:color="000000" w:sz="4" w:space="0"/>
              <w:left w:val="single" w:color="000000" w:sz="4" w:space="0"/>
              <w:right w:val="single" w:color="000000"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1</w:t>
            </w:r>
            <w:r>
              <w:rPr>
                <w:rFonts w:hint="eastAsia" w:ascii="宋体" w:hAnsi="宋体" w:eastAsia="宋体" w:cs="宋体"/>
                <w:color w:val="auto"/>
                <w:sz w:val="18"/>
                <w:szCs w:val="18"/>
                <w:lang w:val="en-US" w:eastAsia="zh-CN"/>
              </w:rPr>
              <w:t>6</w:t>
            </w:r>
          </w:p>
        </w:tc>
        <w:tc>
          <w:tcPr>
            <w:tcW w:w="375" w:type="pct"/>
            <w:tcBorders>
              <w:top w:val="single" w:color="000000" w:sz="4" w:space="0"/>
              <w:left w:val="single" w:color="000000" w:sz="4" w:space="0"/>
              <w:right w:val="single" w:color="000000" w:sz="4" w:space="0"/>
            </w:tcBorders>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2</w:t>
            </w:r>
          </w:p>
        </w:tc>
        <w:tc>
          <w:tcPr>
            <w:tcW w:w="699" w:type="pct"/>
            <w:tcBorders>
              <w:top w:val="single" w:color="000000" w:sz="4" w:space="0"/>
              <w:left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555" w:type="pct"/>
            <w:tcBorders>
              <w:top w:val="single" w:color="000000" w:sz="4" w:space="0"/>
              <w:left w:val="single" w:color="000000" w:sz="4" w:space="0"/>
              <w:right w:val="single" w:color="000000" w:sz="4" w:space="0"/>
            </w:tcBorders>
            <w:vAlign w:val="center"/>
          </w:tcPr>
          <w:p>
            <w:pPr>
              <w:jc w:val="center"/>
              <w:rPr>
                <w:rFonts w:hint="eastAsia" w:ascii="宋体" w:hAnsi="宋体" w:eastAsia="宋体" w:cs="宋体"/>
                <w:color w:val="auto"/>
                <w:sz w:val="18"/>
                <w:szCs w:val="18"/>
              </w:rPr>
            </w:pPr>
          </w:p>
        </w:tc>
        <w:tc>
          <w:tcPr>
            <w:tcW w:w="679" w:type="pct"/>
            <w:tcBorders>
              <w:top w:val="single" w:color="000000" w:sz="4" w:space="0"/>
              <w:lef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6" w:hRule="atLeast"/>
          <w:jc w:val="center"/>
        </w:trPr>
        <w:tc>
          <w:tcPr>
            <w:tcW w:w="540" w:type="pct"/>
            <w:tcBorders>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合计</w:t>
            </w:r>
          </w:p>
        </w:tc>
        <w:tc>
          <w:tcPr>
            <w:tcW w:w="743" w:type="pct"/>
            <w:tcBorders>
              <w:left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80</w:t>
            </w:r>
          </w:p>
        </w:tc>
        <w:tc>
          <w:tcPr>
            <w:tcW w:w="351" w:type="pct"/>
            <w:tcBorders>
              <w:left w:val="single" w:color="000000" w:sz="4" w:space="0"/>
              <w:right w:val="single" w:color="000000"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w:t>
            </w:r>
          </w:p>
        </w:tc>
        <w:tc>
          <w:tcPr>
            <w:tcW w:w="351" w:type="pct"/>
            <w:tcBorders>
              <w:left w:val="single" w:color="000000" w:sz="4" w:space="0"/>
              <w:righ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351" w:type="pct"/>
            <w:tcBorders>
              <w:left w:val="single" w:color="000000" w:sz="4" w:space="0"/>
              <w:right w:val="single" w:color="000000"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4</w:t>
            </w:r>
          </w:p>
        </w:tc>
        <w:tc>
          <w:tcPr>
            <w:tcW w:w="351" w:type="pct"/>
            <w:tcBorders>
              <w:left w:val="single" w:color="000000" w:sz="4" w:space="0"/>
              <w:right w:val="single" w:color="000000"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1</w:t>
            </w:r>
            <w:r>
              <w:rPr>
                <w:rFonts w:hint="eastAsia" w:ascii="宋体" w:hAnsi="宋体" w:eastAsia="宋体" w:cs="宋体"/>
                <w:color w:val="auto"/>
                <w:sz w:val="18"/>
                <w:szCs w:val="18"/>
                <w:lang w:val="en-US" w:eastAsia="zh-CN"/>
              </w:rPr>
              <w:t>6</w:t>
            </w:r>
          </w:p>
        </w:tc>
        <w:tc>
          <w:tcPr>
            <w:tcW w:w="375" w:type="pct"/>
            <w:tcBorders>
              <w:left w:val="single" w:color="000000" w:sz="4" w:space="0"/>
              <w:right w:val="single" w:color="000000"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w:t>
            </w:r>
          </w:p>
        </w:tc>
        <w:tc>
          <w:tcPr>
            <w:tcW w:w="699" w:type="pct"/>
            <w:tcBorders>
              <w:left w:val="single" w:color="000000" w:sz="4" w:space="0"/>
              <w:right w:val="single" w:color="000000"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9</w:t>
            </w:r>
          </w:p>
        </w:tc>
        <w:tc>
          <w:tcPr>
            <w:tcW w:w="555" w:type="pct"/>
            <w:tcBorders>
              <w:left w:val="single" w:color="000000" w:sz="4" w:space="0"/>
              <w:right w:val="single" w:color="000000" w:sz="4" w:space="0"/>
            </w:tcBorders>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4</w:t>
            </w:r>
          </w:p>
        </w:tc>
        <w:tc>
          <w:tcPr>
            <w:tcW w:w="679" w:type="pct"/>
            <w:tcBorders>
              <w:left w:val="single" w:color="000000"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117</w:t>
            </w:r>
          </w:p>
        </w:tc>
      </w:tr>
    </w:tbl>
    <w:p>
      <w:pPr>
        <w:pStyle w:val="5"/>
        <w:bidi w:val="0"/>
        <w:rPr>
          <w:color w:val="auto"/>
        </w:rPr>
      </w:pPr>
      <w:bookmarkStart w:id="36" w:name="_Toc6072"/>
      <w:r>
        <w:rPr>
          <w:rFonts w:hint="eastAsia"/>
          <w:color w:val="auto"/>
        </w:rPr>
        <w:t>（</w:t>
      </w:r>
      <w:r>
        <w:rPr>
          <w:rFonts w:hint="eastAsia"/>
          <w:color w:val="auto"/>
          <w:lang w:val="en-US" w:eastAsia="zh-CN"/>
        </w:rPr>
        <w:t>二</w:t>
      </w:r>
      <w:r>
        <w:rPr>
          <w:rFonts w:hint="eastAsia"/>
          <w:color w:val="auto"/>
        </w:rPr>
        <w:t>）教学</w:t>
      </w:r>
      <w:r>
        <w:rPr>
          <w:rFonts w:hint="eastAsia"/>
          <w:color w:val="auto"/>
          <w:lang w:val="en-US" w:eastAsia="zh-CN"/>
        </w:rPr>
        <w:t>环节周具体</w:t>
      </w:r>
      <w:r>
        <w:rPr>
          <w:rFonts w:hint="eastAsia"/>
          <w:color w:val="auto"/>
        </w:rPr>
        <w:t>安排表</w:t>
      </w:r>
      <w:bookmarkEnd w:id="36"/>
    </w:p>
    <w:p>
      <w:pPr>
        <w:pStyle w:val="7"/>
        <w:bidi w:val="0"/>
        <w:rPr>
          <w:color w:val="auto"/>
          <w:lang w:val="en-US"/>
        </w:rPr>
      </w:pPr>
      <w:bookmarkStart w:id="37" w:name="_Toc11006"/>
      <w:r>
        <w:rPr>
          <w:rFonts w:hint="eastAsia"/>
          <w:color w:val="auto"/>
          <w:lang w:val="en-US"/>
        </w:rPr>
        <w:t>表</w:t>
      </w:r>
      <w:r>
        <w:rPr>
          <w:rFonts w:hint="eastAsia"/>
          <w:color w:val="auto"/>
          <w:lang w:val="en-US" w:eastAsia="zh-CN"/>
        </w:rPr>
        <w:t>5</w:t>
      </w:r>
      <w:r>
        <w:rPr>
          <w:rFonts w:hint="eastAsia"/>
          <w:color w:val="auto"/>
          <w:lang w:val="en-US"/>
        </w:rPr>
        <w:t xml:space="preserve"> 教学环节周具体安排表</w:t>
      </w:r>
      <w:bookmarkEnd w:id="37"/>
    </w:p>
    <w:tbl>
      <w:tblPr>
        <w:tblStyle w:val="16"/>
        <w:tblW w:w="9720" w:type="dxa"/>
        <w:jc w:val="center"/>
        <w:tblLayout w:type="fixed"/>
        <w:tblCellMar>
          <w:top w:w="0" w:type="dxa"/>
          <w:left w:w="0" w:type="dxa"/>
          <w:bottom w:w="0" w:type="dxa"/>
          <w:right w:w="0" w:type="dxa"/>
        </w:tblCellMar>
      </w:tblPr>
      <w:tblGrid>
        <w:gridCol w:w="557"/>
        <w:gridCol w:w="643"/>
        <w:gridCol w:w="425"/>
        <w:gridCol w:w="427"/>
        <w:gridCol w:w="425"/>
        <w:gridCol w:w="427"/>
        <w:gridCol w:w="425"/>
        <w:gridCol w:w="427"/>
        <w:gridCol w:w="425"/>
        <w:gridCol w:w="427"/>
        <w:gridCol w:w="425"/>
        <w:gridCol w:w="427"/>
        <w:gridCol w:w="425"/>
        <w:gridCol w:w="427"/>
        <w:gridCol w:w="425"/>
        <w:gridCol w:w="427"/>
        <w:gridCol w:w="425"/>
        <w:gridCol w:w="427"/>
        <w:gridCol w:w="425"/>
        <w:gridCol w:w="427"/>
        <w:gridCol w:w="425"/>
        <w:gridCol w:w="427"/>
      </w:tblGrid>
      <w:tr>
        <w:tblPrEx>
          <w:tblCellMar>
            <w:top w:w="0" w:type="dxa"/>
            <w:left w:w="0" w:type="dxa"/>
            <w:bottom w:w="0" w:type="dxa"/>
            <w:right w:w="0" w:type="dxa"/>
          </w:tblCellMar>
        </w:tblPrEx>
        <w:trPr>
          <w:trHeight w:val="482" w:hRule="exact"/>
          <w:jc w:val="center"/>
        </w:trPr>
        <w:tc>
          <w:tcPr>
            <w:tcW w:w="557" w:type="dxa"/>
            <w:vMerge w:val="restart"/>
            <w:tcBorders>
              <w:top w:val="single" w:color="000000" w:sz="6" w:space="0"/>
              <w:left w:val="single" w:color="000000" w:sz="6" w:space="0"/>
              <w:right w:val="single" w:color="000000" w:sz="6" w:space="0"/>
            </w:tcBorders>
            <w:vAlign w:val="center"/>
          </w:tcPr>
          <w:p>
            <w:pPr>
              <w:pStyle w:val="20"/>
              <w:spacing w:before="192"/>
              <w:jc w:val="center"/>
              <w:rPr>
                <w:rFonts w:ascii="仿宋" w:hAnsi="仿宋" w:eastAsia="仿宋" w:cs="仿宋"/>
                <w:b/>
                <w:bCs/>
                <w:color w:val="auto"/>
                <w:szCs w:val="21"/>
              </w:rPr>
            </w:pPr>
            <w:r>
              <w:rPr>
                <w:rFonts w:hint="eastAsia" w:ascii="仿宋" w:hAnsi="仿宋" w:eastAsia="仿宋" w:cs="仿宋"/>
                <w:b/>
                <w:bCs/>
                <w:color w:val="auto"/>
                <w:szCs w:val="21"/>
              </w:rPr>
              <w:t>学年</w:t>
            </w:r>
          </w:p>
        </w:tc>
        <w:tc>
          <w:tcPr>
            <w:tcW w:w="643" w:type="dxa"/>
            <w:vMerge w:val="restart"/>
            <w:tcBorders>
              <w:top w:val="single" w:color="000000" w:sz="6" w:space="0"/>
              <w:left w:val="single" w:color="000000" w:sz="6" w:space="0"/>
              <w:right w:val="single" w:color="000000" w:sz="6" w:space="0"/>
            </w:tcBorders>
            <w:vAlign w:val="center"/>
          </w:tcPr>
          <w:p>
            <w:pPr>
              <w:pStyle w:val="20"/>
              <w:spacing w:before="192"/>
              <w:jc w:val="center"/>
              <w:rPr>
                <w:rFonts w:ascii="仿宋" w:hAnsi="仿宋" w:eastAsia="仿宋" w:cs="仿宋"/>
                <w:b/>
                <w:bCs/>
                <w:color w:val="auto"/>
                <w:szCs w:val="21"/>
              </w:rPr>
            </w:pPr>
            <w:r>
              <w:rPr>
                <w:rFonts w:hint="eastAsia" w:ascii="仿宋" w:hAnsi="仿宋" w:eastAsia="仿宋" w:cs="仿宋"/>
                <w:b/>
                <w:bCs/>
                <w:color w:val="auto"/>
                <w:szCs w:val="21"/>
              </w:rPr>
              <w:t>学期</w:t>
            </w:r>
          </w:p>
        </w:tc>
        <w:tc>
          <w:tcPr>
            <w:tcW w:w="8520" w:type="dxa"/>
            <w:gridSpan w:val="20"/>
            <w:tcBorders>
              <w:top w:val="single" w:color="000000" w:sz="6" w:space="0"/>
              <w:left w:val="single" w:color="000000" w:sz="6" w:space="0"/>
              <w:bottom w:val="single" w:color="000000" w:sz="6" w:space="0"/>
              <w:right w:val="single" w:color="000000" w:sz="6" w:space="0"/>
            </w:tcBorders>
            <w:vAlign w:val="center"/>
          </w:tcPr>
          <w:p>
            <w:pPr>
              <w:pStyle w:val="20"/>
              <w:tabs>
                <w:tab w:val="left" w:pos="628"/>
                <w:tab w:val="left" w:pos="1257"/>
                <w:tab w:val="left" w:pos="1883"/>
              </w:tabs>
              <w:spacing w:line="274" w:lineRule="exact"/>
              <w:ind w:left="-1" w:right="395"/>
              <w:jc w:val="center"/>
              <w:rPr>
                <w:b/>
                <w:bCs/>
                <w:color w:val="auto"/>
                <w:sz w:val="24"/>
                <w:szCs w:val="24"/>
              </w:rPr>
            </w:pPr>
            <w:r>
              <w:rPr>
                <w:rFonts w:hint="eastAsia" w:ascii="仿宋" w:hAnsi="仿宋" w:eastAsia="仿宋" w:cs="仿宋"/>
                <w:b/>
                <w:bCs/>
                <w:color w:val="auto"/>
                <w:szCs w:val="21"/>
              </w:rPr>
              <w:t>教</w:t>
            </w:r>
            <w:r>
              <w:rPr>
                <w:rFonts w:hint="eastAsia" w:ascii="仿宋" w:hAnsi="仿宋" w:eastAsia="仿宋" w:cs="仿宋"/>
                <w:b/>
                <w:bCs/>
                <w:color w:val="auto"/>
                <w:szCs w:val="21"/>
              </w:rPr>
              <w:tab/>
            </w:r>
            <w:r>
              <w:rPr>
                <w:rFonts w:hint="eastAsia" w:ascii="仿宋" w:hAnsi="仿宋" w:eastAsia="仿宋" w:cs="仿宋"/>
                <w:b/>
                <w:bCs/>
                <w:color w:val="auto"/>
                <w:szCs w:val="21"/>
              </w:rPr>
              <w:t>学</w:t>
            </w:r>
            <w:r>
              <w:rPr>
                <w:rFonts w:hint="eastAsia" w:ascii="仿宋" w:hAnsi="仿宋" w:eastAsia="仿宋" w:cs="仿宋"/>
                <w:b/>
                <w:bCs/>
                <w:color w:val="auto"/>
                <w:szCs w:val="21"/>
              </w:rPr>
              <w:tab/>
            </w:r>
            <w:r>
              <w:rPr>
                <w:rFonts w:hint="eastAsia" w:ascii="仿宋" w:hAnsi="仿宋" w:eastAsia="仿宋" w:cs="仿宋"/>
                <w:b/>
                <w:bCs/>
                <w:color w:val="auto"/>
                <w:szCs w:val="21"/>
              </w:rPr>
              <w:t>周</w:t>
            </w:r>
            <w:r>
              <w:rPr>
                <w:rFonts w:hint="eastAsia" w:ascii="仿宋" w:hAnsi="仿宋" w:eastAsia="仿宋" w:cs="仿宋"/>
                <w:b/>
                <w:bCs/>
                <w:color w:val="auto"/>
                <w:szCs w:val="21"/>
              </w:rPr>
              <w:tab/>
            </w:r>
            <w:r>
              <w:rPr>
                <w:rFonts w:hint="eastAsia" w:ascii="仿宋" w:hAnsi="仿宋" w:eastAsia="仿宋" w:cs="仿宋"/>
                <w:b/>
                <w:bCs/>
                <w:color w:val="auto"/>
                <w:szCs w:val="21"/>
              </w:rPr>
              <w:t>数</w:t>
            </w:r>
          </w:p>
        </w:tc>
      </w:tr>
      <w:tr>
        <w:tblPrEx>
          <w:tblCellMar>
            <w:top w:w="0" w:type="dxa"/>
            <w:left w:w="0" w:type="dxa"/>
            <w:bottom w:w="0" w:type="dxa"/>
            <w:right w:w="0" w:type="dxa"/>
          </w:tblCellMar>
        </w:tblPrEx>
        <w:trPr>
          <w:trHeight w:val="466" w:hRule="exact"/>
          <w:jc w:val="center"/>
        </w:trPr>
        <w:tc>
          <w:tcPr>
            <w:tcW w:w="557" w:type="dxa"/>
            <w:vMerge w:val="continue"/>
            <w:tcBorders>
              <w:left w:val="single" w:color="000000" w:sz="6" w:space="0"/>
              <w:bottom w:val="single" w:color="000000" w:sz="6" w:space="0"/>
              <w:right w:val="single" w:color="000000" w:sz="6" w:space="0"/>
            </w:tcBorders>
            <w:vAlign w:val="center"/>
          </w:tcPr>
          <w:p>
            <w:pPr>
              <w:jc w:val="center"/>
              <w:rPr>
                <w:rFonts w:ascii="仿宋" w:hAnsi="仿宋" w:eastAsia="仿宋" w:cs="仿宋"/>
                <w:b/>
                <w:bCs/>
                <w:color w:val="auto"/>
                <w:szCs w:val="21"/>
              </w:rPr>
            </w:pPr>
          </w:p>
        </w:tc>
        <w:tc>
          <w:tcPr>
            <w:tcW w:w="643" w:type="dxa"/>
            <w:vMerge w:val="continue"/>
            <w:tcBorders>
              <w:left w:val="single" w:color="000000" w:sz="6" w:space="0"/>
              <w:bottom w:val="single" w:color="000000" w:sz="6" w:space="0"/>
              <w:right w:val="single" w:color="000000" w:sz="6" w:space="0"/>
            </w:tcBorders>
            <w:vAlign w:val="center"/>
          </w:tcPr>
          <w:p>
            <w:pPr>
              <w:jc w:val="center"/>
              <w:rPr>
                <w:rFonts w:ascii="仿宋" w:hAnsi="仿宋" w:eastAsia="仿宋" w:cs="仿宋"/>
                <w:b/>
                <w:bCs/>
                <w:color w:val="auto"/>
                <w:szCs w:val="21"/>
              </w:rPr>
            </w:pP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32"/>
              <w:ind w:left="156"/>
              <w:jc w:val="left"/>
              <w:rPr>
                <w:rFonts w:ascii="Times New Roman" w:hAnsi="Times New Roman" w:eastAsia="Times New Roman" w:cs="Times New Roman"/>
                <w:b/>
                <w:bCs/>
                <w:color w:val="auto"/>
                <w:sz w:val="24"/>
                <w:szCs w:val="24"/>
              </w:rPr>
            </w:pPr>
            <w:r>
              <w:rPr>
                <w:rFonts w:ascii="Times New Roman"/>
                <w:b/>
                <w:bCs/>
                <w:color w:val="auto"/>
                <w:sz w:val="24"/>
              </w:rPr>
              <w:t>1</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32"/>
              <w:ind w:left="19"/>
              <w:jc w:val="center"/>
              <w:rPr>
                <w:rFonts w:ascii="Times New Roman" w:hAnsi="Times New Roman" w:eastAsia="Times New Roman" w:cs="Times New Roman"/>
                <w:b/>
                <w:bCs/>
                <w:color w:val="auto"/>
                <w:sz w:val="24"/>
                <w:szCs w:val="24"/>
              </w:rPr>
            </w:pPr>
            <w:r>
              <w:rPr>
                <w:rFonts w:ascii="Times New Roman"/>
                <w:b/>
                <w:bCs/>
                <w:color w:val="auto"/>
                <w:sz w:val="24"/>
              </w:rPr>
              <w:t>2</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32"/>
              <w:ind w:left="21"/>
              <w:jc w:val="center"/>
              <w:rPr>
                <w:rFonts w:ascii="Times New Roman" w:hAnsi="Times New Roman" w:eastAsia="Times New Roman" w:cs="Times New Roman"/>
                <w:b/>
                <w:bCs/>
                <w:color w:val="auto"/>
                <w:sz w:val="24"/>
                <w:szCs w:val="24"/>
              </w:rPr>
            </w:pPr>
            <w:r>
              <w:rPr>
                <w:rFonts w:ascii="Times New Roman"/>
                <w:b/>
                <w:bCs/>
                <w:color w:val="auto"/>
                <w:sz w:val="24"/>
              </w:rPr>
              <w:t>3</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32"/>
              <w:ind w:right="134"/>
              <w:jc w:val="right"/>
              <w:rPr>
                <w:rFonts w:ascii="Times New Roman" w:hAnsi="Times New Roman" w:eastAsia="Times New Roman" w:cs="Times New Roman"/>
                <w:b/>
                <w:bCs/>
                <w:color w:val="auto"/>
                <w:sz w:val="24"/>
                <w:szCs w:val="24"/>
              </w:rPr>
            </w:pPr>
            <w:r>
              <w:rPr>
                <w:rFonts w:ascii="Times New Roman"/>
                <w:b/>
                <w:bCs/>
                <w:color w:val="auto"/>
                <w:sz w:val="24"/>
              </w:rPr>
              <w:t>4</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32"/>
              <w:ind w:left="155"/>
              <w:jc w:val="left"/>
              <w:rPr>
                <w:rFonts w:ascii="Times New Roman" w:hAnsi="Times New Roman" w:eastAsia="Times New Roman" w:cs="Times New Roman"/>
                <w:b/>
                <w:bCs/>
                <w:color w:val="auto"/>
                <w:sz w:val="24"/>
                <w:szCs w:val="24"/>
              </w:rPr>
            </w:pPr>
            <w:r>
              <w:rPr>
                <w:rFonts w:ascii="Times New Roman"/>
                <w:b/>
                <w:bCs/>
                <w:color w:val="auto"/>
                <w:sz w:val="24"/>
              </w:rPr>
              <w:t>5</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32"/>
              <w:ind w:left="19"/>
              <w:jc w:val="center"/>
              <w:rPr>
                <w:rFonts w:ascii="Times New Roman" w:hAnsi="Times New Roman" w:eastAsia="Times New Roman" w:cs="Times New Roman"/>
                <w:b/>
                <w:bCs/>
                <w:color w:val="auto"/>
                <w:sz w:val="24"/>
                <w:szCs w:val="24"/>
              </w:rPr>
            </w:pPr>
            <w:r>
              <w:rPr>
                <w:rFonts w:ascii="Times New Roman"/>
                <w:b/>
                <w:bCs/>
                <w:color w:val="auto"/>
                <w:sz w:val="24"/>
              </w:rPr>
              <w:t>6</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32"/>
              <w:ind w:right="132"/>
              <w:jc w:val="right"/>
              <w:rPr>
                <w:rFonts w:ascii="Times New Roman" w:hAnsi="Times New Roman" w:eastAsia="Times New Roman" w:cs="Times New Roman"/>
                <w:b/>
                <w:bCs/>
                <w:color w:val="auto"/>
                <w:sz w:val="24"/>
                <w:szCs w:val="24"/>
              </w:rPr>
            </w:pPr>
            <w:r>
              <w:rPr>
                <w:rFonts w:ascii="Times New Roman"/>
                <w:b/>
                <w:bCs/>
                <w:color w:val="auto"/>
                <w:sz w:val="24"/>
              </w:rPr>
              <w:t>7</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32"/>
              <w:ind w:left="156"/>
              <w:jc w:val="left"/>
              <w:rPr>
                <w:rFonts w:ascii="Times New Roman" w:hAnsi="Times New Roman" w:eastAsia="Times New Roman" w:cs="Times New Roman"/>
                <w:b/>
                <w:bCs/>
                <w:color w:val="auto"/>
                <w:sz w:val="24"/>
                <w:szCs w:val="24"/>
              </w:rPr>
            </w:pPr>
            <w:r>
              <w:rPr>
                <w:rFonts w:ascii="Times New Roman"/>
                <w:b/>
                <w:bCs/>
                <w:color w:val="auto"/>
                <w:sz w:val="24"/>
              </w:rPr>
              <w:t>8</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32"/>
              <w:ind w:left="21"/>
              <w:jc w:val="center"/>
              <w:rPr>
                <w:rFonts w:ascii="Times New Roman" w:hAnsi="Times New Roman" w:eastAsia="Times New Roman" w:cs="Times New Roman"/>
                <w:b/>
                <w:bCs/>
                <w:color w:val="auto"/>
                <w:sz w:val="24"/>
                <w:szCs w:val="24"/>
              </w:rPr>
            </w:pPr>
            <w:r>
              <w:rPr>
                <w:rFonts w:ascii="Times New Roman"/>
                <w:b/>
                <w:bCs/>
                <w:color w:val="auto"/>
                <w:sz w:val="24"/>
              </w:rPr>
              <w:t>9</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32"/>
              <w:ind w:left="105"/>
              <w:jc w:val="left"/>
              <w:rPr>
                <w:rFonts w:ascii="Times New Roman" w:hAnsi="Times New Roman" w:eastAsia="Times New Roman" w:cs="Times New Roman"/>
                <w:b/>
                <w:bCs/>
                <w:color w:val="auto"/>
                <w:sz w:val="24"/>
                <w:szCs w:val="24"/>
              </w:rPr>
            </w:pPr>
            <w:r>
              <w:rPr>
                <w:rFonts w:ascii="Times New Roman"/>
                <w:b/>
                <w:bCs/>
                <w:color w:val="auto"/>
                <w:spacing w:val="-10"/>
                <w:sz w:val="24"/>
              </w:rPr>
              <w:t>10</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32"/>
              <w:ind w:left="21"/>
              <w:jc w:val="center"/>
              <w:rPr>
                <w:rFonts w:ascii="Times New Roman" w:hAnsi="Times New Roman" w:eastAsia="Times New Roman" w:cs="Times New Roman"/>
                <w:b/>
                <w:bCs/>
                <w:color w:val="auto"/>
                <w:sz w:val="24"/>
                <w:szCs w:val="24"/>
              </w:rPr>
            </w:pPr>
            <w:r>
              <w:rPr>
                <w:rFonts w:ascii="Times New Roman"/>
                <w:b/>
                <w:bCs/>
                <w:color w:val="auto"/>
                <w:spacing w:val="-15"/>
                <w:sz w:val="24"/>
              </w:rPr>
              <w:t>11</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32"/>
              <w:ind w:left="19"/>
              <w:jc w:val="center"/>
              <w:rPr>
                <w:rFonts w:ascii="Times New Roman" w:hAnsi="Times New Roman" w:eastAsia="Times New Roman" w:cs="Times New Roman"/>
                <w:b/>
                <w:bCs/>
                <w:color w:val="auto"/>
                <w:sz w:val="24"/>
                <w:szCs w:val="24"/>
              </w:rPr>
            </w:pPr>
            <w:r>
              <w:rPr>
                <w:rFonts w:ascii="Times New Roman"/>
                <w:b/>
                <w:bCs/>
                <w:color w:val="auto"/>
                <w:spacing w:val="-10"/>
                <w:sz w:val="24"/>
              </w:rPr>
              <w:t>12</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32"/>
              <w:ind w:left="105"/>
              <w:jc w:val="left"/>
              <w:rPr>
                <w:rFonts w:ascii="Times New Roman" w:hAnsi="Times New Roman" w:eastAsia="Times New Roman" w:cs="Times New Roman"/>
                <w:b/>
                <w:bCs/>
                <w:color w:val="auto"/>
                <w:sz w:val="24"/>
                <w:szCs w:val="24"/>
              </w:rPr>
            </w:pPr>
            <w:r>
              <w:rPr>
                <w:rFonts w:ascii="Times New Roman"/>
                <w:b/>
                <w:bCs/>
                <w:color w:val="auto"/>
                <w:spacing w:val="-10"/>
                <w:sz w:val="24"/>
              </w:rPr>
              <w:t>13</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32"/>
              <w:ind w:left="19"/>
              <w:jc w:val="center"/>
              <w:rPr>
                <w:rFonts w:ascii="Times New Roman" w:hAnsi="Times New Roman" w:eastAsia="Times New Roman" w:cs="Times New Roman"/>
                <w:b/>
                <w:bCs/>
                <w:color w:val="auto"/>
                <w:sz w:val="24"/>
                <w:szCs w:val="24"/>
              </w:rPr>
            </w:pPr>
            <w:r>
              <w:rPr>
                <w:rFonts w:ascii="Times New Roman"/>
                <w:b/>
                <w:bCs/>
                <w:color w:val="auto"/>
                <w:spacing w:val="-10"/>
                <w:sz w:val="24"/>
              </w:rPr>
              <w:t>14</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32"/>
              <w:ind w:left="21"/>
              <w:jc w:val="center"/>
              <w:rPr>
                <w:rFonts w:ascii="Times New Roman" w:hAnsi="Times New Roman" w:eastAsia="Times New Roman" w:cs="Times New Roman"/>
                <w:b/>
                <w:bCs/>
                <w:color w:val="auto"/>
                <w:sz w:val="24"/>
                <w:szCs w:val="24"/>
              </w:rPr>
            </w:pPr>
            <w:r>
              <w:rPr>
                <w:rFonts w:ascii="Times New Roman"/>
                <w:b/>
                <w:bCs/>
                <w:color w:val="auto"/>
                <w:spacing w:val="-10"/>
                <w:sz w:val="24"/>
              </w:rPr>
              <w:t>15</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32"/>
              <w:ind w:left="105"/>
              <w:jc w:val="left"/>
              <w:rPr>
                <w:rFonts w:ascii="Times New Roman" w:hAnsi="Times New Roman" w:eastAsia="Times New Roman" w:cs="Times New Roman"/>
                <w:b/>
                <w:bCs/>
                <w:color w:val="auto"/>
                <w:sz w:val="24"/>
                <w:szCs w:val="24"/>
              </w:rPr>
            </w:pPr>
            <w:r>
              <w:rPr>
                <w:rFonts w:ascii="Times New Roman"/>
                <w:b/>
                <w:bCs/>
                <w:color w:val="auto"/>
                <w:spacing w:val="-10"/>
                <w:sz w:val="24"/>
              </w:rPr>
              <w:t>16</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32"/>
              <w:ind w:left="21"/>
              <w:jc w:val="center"/>
              <w:rPr>
                <w:rFonts w:ascii="Times New Roman" w:hAnsi="Times New Roman" w:eastAsia="Times New Roman" w:cs="Times New Roman"/>
                <w:b/>
                <w:bCs/>
                <w:color w:val="auto"/>
                <w:sz w:val="24"/>
                <w:szCs w:val="24"/>
              </w:rPr>
            </w:pPr>
            <w:r>
              <w:rPr>
                <w:rFonts w:ascii="Times New Roman"/>
                <w:b/>
                <w:bCs/>
                <w:color w:val="auto"/>
                <w:spacing w:val="-10"/>
                <w:sz w:val="24"/>
              </w:rPr>
              <w:t>17</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32"/>
              <w:ind w:left="105"/>
              <w:jc w:val="left"/>
              <w:rPr>
                <w:rFonts w:ascii="Times New Roman" w:hAnsi="Times New Roman" w:eastAsia="Times New Roman" w:cs="Times New Roman"/>
                <w:b/>
                <w:bCs/>
                <w:color w:val="auto"/>
                <w:sz w:val="24"/>
                <w:szCs w:val="24"/>
              </w:rPr>
            </w:pPr>
            <w:r>
              <w:rPr>
                <w:rFonts w:ascii="Times New Roman"/>
                <w:b/>
                <w:bCs/>
                <w:color w:val="auto"/>
                <w:spacing w:val="-10"/>
                <w:sz w:val="24"/>
              </w:rPr>
              <w:t>18</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32"/>
              <w:ind w:left="21"/>
              <w:jc w:val="center"/>
              <w:rPr>
                <w:rFonts w:ascii="Times New Roman" w:hAnsi="Times New Roman" w:eastAsia="Times New Roman" w:cs="Times New Roman"/>
                <w:b/>
                <w:bCs/>
                <w:color w:val="auto"/>
                <w:sz w:val="24"/>
                <w:szCs w:val="24"/>
              </w:rPr>
            </w:pPr>
            <w:r>
              <w:rPr>
                <w:rFonts w:ascii="Times New Roman"/>
                <w:b/>
                <w:bCs/>
                <w:color w:val="auto"/>
                <w:spacing w:val="-10"/>
                <w:sz w:val="24"/>
              </w:rPr>
              <w:t>19</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32"/>
              <w:ind w:left="19"/>
              <w:jc w:val="center"/>
              <w:rPr>
                <w:rFonts w:ascii="Times New Roman" w:hAnsi="Times New Roman" w:eastAsia="Times New Roman" w:cs="Times New Roman"/>
                <w:b/>
                <w:bCs/>
                <w:color w:val="auto"/>
                <w:sz w:val="24"/>
                <w:szCs w:val="24"/>
              </w:rPr>
            </w:pPr>
            <w:r>
              <w:rPr>
                <w:rFonts w:ascii="Times New Roman"/>
                <w:b/>
                <w:bCs/>
                <w:color w:val="auto"/>
                <w:spacing w:val="-10"/>
                <w:sz w:val="24"/>
              </w:rPr>
              <w:t>20</w:t>
            </w:r>
          </w:p>
        </w:tc>
      </w:tr>
      <w:tr>
        <w:tblPrEx>
          <w:tblCellMar>
            <w:top w:w="0" w:type="dxa"/>
            <w:left w:w="0" w:type="dxa"/>
            <w:bottom w:w="0" w:type="dxa"/>
            <w:right w:w="0" w:type="dxa"/>
          </w:tblCellMar>
        </w:tblPrEx>
        <w:trPr>
          <w:trHeight w:val="482" w:hRule="exact"/>
          <w:jc w:val="center"/>
        </w:trPr>
        <w:tc>
          <w:tcPr>
            <w:tcW w:w="557" w:type="dxa"/>
            <w:vMerge w:val="restart"/>
            <w:tcBorders>
              <w:top w:val="single" w:color="000000" w:sz="6" w:space="0"/>
              <w:left w:val="single" w:color="000000" w:sz="6" w:space="0"/>
              <w:right w:val="single" w:color="000000" w:sz="6" w:space="0"/>
            </w:tcBorders>
            <w:vAlign w:val="center"/>
          </w:tcPr>
          <w:p>
            <w:pPr>
              <w:pStyle w:val="20"/>
              <w:spacing w:before="192"/>
              <w:jc w:val="center"/>
              <w:rPr>
                <w:rFonts w:ascii="仿宋" w:hAnsi="仿宋" w:eastAsia="仿宋" w:cs="仿宋"/>
                <w:color w:val="auto"/>
                <w:szCs w:val="21"/>
              </w:rPr>
            </w:pPr>
            <w:r>
              <w:rPr>
                <w:rFonts w:hint="eastAsia" w:ascii="仿宋" w:hAnsi="仿宋" w:eastAsia="仿宋" w:cs="仿宋"/>
                <w:color w:val="auto"/>
                <w:szCs w:val="21"/>
              </w:rPr>
              <w:t>一</w:t>
            </w:r>
          </w:p>
        </w:tc>
        <w:tc>
          <w:tcPr>
            <w:tcW w:w="643" w:type="dxa"/>
            <w:tcBorders>
              <w:top w:val="single" w:color="000000" w:sz="6" w:space="0"/>
              <w:left w:val="single" w:color="000000" w:sz="6" w:space="0"/>
              <w:bottom w:val="single" w:color="000000" w:sz="6" w:space="0"/>
              <w:right w:val="single" w:color="000000" w:sz="6" w:space="0"/>
            </w:tcBorders>
            <w:vAlign w:val="center"/>
          </w:tcPr>
          <w:p>
            <w:pPr>
              <w:pStyle w:val="20"/>
              <w:spacing w:line="274" w:lineRule="exact"/>
              <w:jc w:val="center"/>
              <w:rPr>
                <w:rFonts w:ascii="仿宋" w:hAnsi="仿宋" w:eastAsia="仿宋" w:cs="仿宋"/>
                <w:color w:val="auto"/>
                <w:szCs w:val="21"/>
              </w:rPr>
            </w:pPr>
            <w:r>
              <w:rPr>
                <w:rFonts w:hint="eastAsia" w:ascii="仿宋" w:hAnsi="仿宋" w:eastAsia="仿宋" w:cs="仿宋"/>
                <w:color w:val="auto"/>
                <w:szCs w:val="21"/>
              </w:rPr>
              <w:t>一</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120"/>
              <w:jc w:val="left"/>
              <w:rPr>
                <w:rFonts w:ascii="Wingdings" w:hAnsi="Wingdings" w:eastAsia="Wingdings" w:cs="Wingdings"/>
                <w:color w:val="auto"/>
                <w:sz w:val="24"/>
                <w:szCs w:val="24"/>
              </w:rPr>
            </w:pP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40"/>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vAlign w:val="center"/>
          </w:tcPr>
          <w:p>
            <w:pPr>
              <w:pStyle w:val="20"/>
              <w:spacing w:before="31"/>
              <w:ind w:left="33"/>
              <w:jc w:val="center"/>
              <w:rPr>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right="96"/>
              <w:jc w:val="righ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2"/>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right="93"/>
              <w:jc w:val="righ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4"/>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4"/>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vAlign w:val="top"/>
          </w:tcPr>
          <w:p>
            <w:pPr>
              <w:pStyle w:val="20"/>
              <w:spacing w:before="98"/>
              <w:ind w:left="2" w:leftChars="0"/>
              <w:jc w:val="center"/>
              <w:rPr>
                <w:rFonts w:ascii="Wingdings" w:hAnsi="Wingdings" w:eastAsia="Wingdings" w:cs="Wingdings"/>
                <w:color w:val="auto"/>
                <w:kern w:val="2"/>
                <w:sz w:val="24"/>
                <w:szCs w:val="24"/>
                <w:lang w:val="zh-CN" w:eastAsia="zh-CN" w:bidi="zh-CN"/>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vAlign w:val="top"/>
          </w:tcPr>
          <w:p>
            <w:pPr>
              <w:pStyle w:val="20"/>
              <w:spacing w:before="98"/>
              <w:ind w:left="99" w:leftChars="0"/>
              <w:jc w:val="left"/>
              <w:rPr>
                <w:rFonts w:ascii="Wingdings" w:hAnsi="Wingdings" w:eastAsia="Wingdings" w:cs="Wingdings"/>
                <w:color w:val="auto"/>
                <w:kern w:val="2"/>
                <w:sz w:val="24"/>
                <w:szCs w:val="24"/>
                <w:lang w:val="zh-CN" w:eastAsia="zh-CN" w:bidi="zh-CN"/>
              </w:rPr>
            </w:pPr>
            <w:r>
              <w:rPr>
                <w:rFonts w:ascii="Wingdings" w:hAnsi="Wingdings" w:eastAsia="Wingdings" w:cs="Wingdings"/>
                <w:color w:val="auto"/>
                <w:w w:val="99"/>
                <w:sz w:val="24"/>
                <w:szCs w:val="24"/>
              </w:rPr>
              <w:sym w:font="Wingdings" w:char="00A8"/>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3"/>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99"/>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2"/>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vAlign w:val="top"/>
          </w:tcPr>
          <w:p>
            <w:pPr>
              <w:pStyle w:val="20"/>
              <w:spacing w:before="98"/>
              <w:ind w:left="2" w:leftChars="0"/>
              <w:jc w:val="center"/>
              <w:rPr>
                <w:rFonts w:ascii="Wingdings" w:hAnsi="Wingdings" w:eastAsia="Wingdings" w:cs="Wingdings"/>
                <w:color w:val="auto"/>
                <w:kern w:val="2"/>
                <w:sz w:val="24"/>
                <w:szCs w:val="24"/>
                <w:lang w:val="zh-CN" w:eastAsia="zh-CN" w:bidi="zh-CN"/>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vAlign w:val="top"/>
          </w:tcPr>
          <w:p>
            <w:pPr>
              <w:pStyle w:val="20"/>
              <w:spacing w:before="98"/>
              <w:ind w:left="99" w:leftChars="0"/>
              <w:jc w:val="left"/>
              <w:rPr>
                <w:rFonts w:ascii="Wingdings" w:hAnsi="Wingdings" w:eastAsia="Wingdings" w:cs="Wingdings"/>
                <w:color w:val="auto"/>
                <w:kern w:val="2"/>
                <w:sz w:val="24"/>
                <w:szCs w:val="24"/>
                <w:lang w:val="zh-CN" w:eastAsia="zh-CN" w:bidi="zh-CN"/>
              </w:rPr>
            </w:pPr>
            <w:r>
              <w:rPr>
                <w:rFonts w:ascii="Wingdings" w:hAnsi="Wingdings" w:eastAsia="Wingdings" w:cs="Wingdings"/>
                <w:color w:val="auto"/>
                <w:w w:val="99"/>
                <w:sz w:val="24"/>
                <w:szCs w:val="24"/>
              </w:rPr>
              <w:sym w:font="Wingdings" w:char="00A8"/>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36"/>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r>
      <w:tr>
        <w:tblPrEx>
          <w:tblCellMar>
            <w:top w:w="0" w:type="dxa"/>
            <w:left w:w="0" w:type="dxa"/>
            <w:bottom w:w="0" w:type="dxa"/>
            <w:right w:w="0" w:type="dxa"/>
          </w:tblCellMar>
        </w:tblPrEx>
        <w:trPr>
          <w:trHeight w:val="485" w:hRule="exact"/>
          <w:jc w:val="center"/>
        </w:trPr>
        <w:tc>
          <w:tcPr>
            <w:tcW w:w="557" w:type="dxa"/>
            <w:vMerge w:val="continue"/>
            <w:tcBorders>
              <w:left w:val="single" w:color="000000" w:sz="6" w:space="0"/>
              <w:bottom w:val="single" w:color="000000" w:sz="6" w:space="0"/>
              <w:right w:val="single" w:color="000000" w:sz="6" w:space="0"/>
            </w:tcBorders>
            <w:vAlign w:val="center"/>
          </w:tcPr>
          <w:p>
            <w:pPr>
              <w:jc w:val="center"/>
              <w:rPr>
                <w:rFonts w:ascii="仿宋" w:hAnsi="仿宋" w:eastAsia="仿宋" w:cs="仿宋"/>
                <w:color w:val="auto"/>
                <w:szCs w:val="21"/>
              </w:rPr>
            </w:pPr>
          </w:p>
        </w:tc>
        <w:tc>
          <w:tcPr>
            <w:tcW w:w="643" w:type="dxa"/>
            <w:tcBorders>
              <w:top w:val="single" w:color="000000" w:sz="6" w:space="0"/>
              <w:left w:val="single" w:color="000000" w:sz="6" w:space="0"/>
              <w:bottom w:val="single" w:color="000000" w:sz="6" w:space="0"/>
              <w:right w:val="single" w:color="000000" w:sz="6" w:space="0"/>
            </w:tcBorders>
            <w:vAlign w:val="center"/>
          </w:tcPr>
          <w:p>
            <w:pPr>
              <w:pStyle w:val="20"/>
              <w:spacing w:line="274" w:lineRule="exact"/>
              <w:jc w:val="center"/>
              <w:rPr>
                <w:rFonts w:ascii="仿宋" w:hAnsi="仿宋" w:eastAsia="仿宋" w:cs="仿宋"/>
                <w:color w:val="auto"/>
                <w:szCs w:val="21"/>
              </w:rPr>
            </w:pPr>
            <w:r>
              <w:rPr>
                <w:rFonts w:hint="eastAsia" w:ascii="仿宋" w:hAnsi="仿宋" w:eastAsia="仿宋" w:cs="仿宋"/>
                <w:color w:val="auto"/>
                <w:szCs w:val="21"/>
              </w:rPr>
              <w:t>二</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2"/>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5"/>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right="96"/>
              <w:jc w:val="righ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2"/>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right="95"/>
              <w:jc w:val="righ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4"/>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3"/>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jc w:val="center"/>
              <w:rPr>
                <w:rFonts w:ascii="Wingdings" w:hAnsi="Wingdings" w:eastAsia="Wingdings" w:cs="Wingdings"/>
                <w:color w:val="auto"/>
                <w:sz w:val="24"/>
                <w:szCs w:val="24"/>
              </w:rPr>
            </w:pPr>
            <w:r>
              <w:rPr>
                <w:color w:val="auto"/>
                <w:position w:val="1"/>
                <w:sz w:val="28"/>
                <w:szCs w:val="28"/>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99"/>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2"/>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99"/>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1"/>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99"/>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38"/>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36"/>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r>
      <w:tr>
        <w:tblPrEx>
          <w:tblCellMar>
            <w:top w:w="0" w:type="dxa"/>
            <w:left w:w="0" w:type="dxa"/>
            <w:bottom w:w="0" w:type="dxa"/>
            <w:right w:w="0" w:type="dxa"/>
          </w:tblCellMar>
        </w:tblPrEx>
        <w:trPr>
          <w:trHeight w:val="482" w:hRule="exact"/>
          <w:jc w:val="center"/>
        </w:trPr>
        <w:tc>
          <w:tcPr>
            <w:tcW w:w="557" w:type="dxa"/>
            <w:vMerge w:val="restart"/>
            <w:tcBorders>
              <w:top w:val="single" w:color="000000" w:sz="6" w:space="0"/>
              <w:left w:val="single" w:color="000000" w:sz="6" w:space="0"/>
              <w:right w:val="single" w:color="000000" w:sz="6" w:space="0"/>
            </w:tcBorders>
            <w:vAlign w:val="center"/>
          </w:tcPr>
          <w:p>
            <w:pPr>
              <w:pStyle w:val="20"/>
              <w:spacing w:before="192"/>
              <w:jc w:val="center"/>
              <w:rPr>
                <w:rFonts w:ascii="仿宋" w:hAnsi="仿宋" w:eastAsia="仿宋" w:cs="仿宋"/>
                <w:color w:val="auto"/>
                <w:szCs w:val="21"/>
              </w:rPr>
            </w:pPr>
            <w:r>
              <w:rPr>
                <w:rFonts w:hint="eastAsia" w:ascii="仿宋" w:hAnsi="仿宋" w:eastAsia="仿宋" w:cs="仿宋"/>
                <w:color w:val="auto"/>
                <w:szCs w:val="21"/>
              </w:rPr>
              <w:t>二</w:t>
            </w:r>
          </w:p>
        </w:tc>
        <w:tc>
          <w:tcPr>
            <w:tcW w:w="643" w:type="dxa"/>
            <w:tcBorders>
              <w:top w:val="single" w:color="000000" w:sz="6" w:space="0"/>
              <w:left w:val="single" w:color="000000" w:sz="6" w:space="0"/>
              <w:bottom w:val="single" w:color="000000" w:sz="6" w:space="0"/>
              <w:right w:val="single" w:color="000000" w:sz="6" w:space="0"/>
            </w:tcBorders>
            <w:vAlign w:val="center"/>
          </w:tcPr>
          <w:p>
            <w:pPr>
              <w:pStyle w:val="20"/>
              <w:spacing w:line="274" w:lineRule="exact"/>
              <w:jc w:val="center"/>
              <w:rPr>
                <w:rFonts w:ascii="仿宋" w:hAnsi="仿宋" w:eastAsia="仿宋" w:cs="仿宋"/>
                <w:color w:val="auto"/>
                <w:szCs w:val="21"/>
              </w:rPr>
            </w:pPr>
            <w:r>
              <w:rPr>
                <w:rFonts w:hint="eastAsia" w:ascii="仿宋" w:hAnsi="仿宋" w:eastAsia="仿宋" w:cs="仿宋"/>
                <w:color w:val="auto"/>
                <w:szCs w:val="21"/>
              </w:rPr>
              <w:t>三</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2"/>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5"/>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right="96"/>
              <w:jc w:val="righ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2"/>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right="95"/>
              <w:jc w:val="righ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4"/>
              <w:jc w:val="center"/>
              <w:rPr>
                <w:rFonts w:ascii="Wingdings" w:hAnsi="Wingdings" w:eastAsia="Wingdings" w:cs="Wingdings"/>
                <w:color w:val="auto"/>
                <w:sz w:val="24"/>
                <w:szCs w:val="24"/>
              </w:rPr>
            </w:pPr>
            <w:r>
              <w:rPr>
                <w:rFonts w:ascii="Wingdings" w:hAnsi="Wingdings" w:eastAsia="Wingdings" w:cs="Wingdings"/>
                <w:color w:val="auto"/>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3"/>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jc w:val="center"/>
              <w:rPr>
                <w:rFonts w:ascii="Wingdings" w:hAnsi="Wingdings" w:eastAsia="Wingdings" w:cs="Wingdings"/>
                <w:color w:val="auto"/>
                <w:sz w:val="24"/>
                <w:szCs w:val="24"/>
              </w:rPr>
            </w:pPr>
            <w:r>
              <w:rPr>
                <w:color w:val="auto"/>
                <w:position w:val="1"/>
                <w:sz w:val="28"/>
                <w:szCs w:val="28"/>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99"/>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2"/>
              <w:jc w:val="center"/>
              <w:rPr>
                <w:rFonts w:ascii="Wingdings" w:hAnsi="Wingdings" w:eastAsia="Wingdings" w:cs="Wingdings"/>
                <w:color w:val="auto"/>
                <w:sz w:val="24"/>
                <w:szCs w:val="24"/>
              </w:rPr>
            </w:pPr>
            <w:r>
              <w:rPr>
                <w:rFonts w:ascii="Wingdings" w:hAnsi="Wingdings" w:eastAsia="Wingdings" w:cs="Wingdings"/>
                <w:color w:val="auto"/>
                <w:w w:val="99"/>
                <w:sz w:val="24"/>
                <w:szCs w:val="24"/>
              </w:rPr>
              <w:sym w:font="Wingdings" w:char="00A8"/>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99"/>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1"/>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99"/>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38"/>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36"/>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r>
      <w:tr>
        <w:tblPrEx>
          <w:tblCellMar>
            <w:top w:w="0" w:type="dxa"/>
            <w:left w:w="0" w:type="dxa"/>
            <w:bottom w:w="0" w:type="dxa"/>
            <w:right w:w="0" w:type="dxa"/>
          </w:tblCellMar>
        </w:tblPrEx>
        <w:trPr>
          <w:trHeight w:val="482" w:hRule="exact"/>
          <w:jc w:val="center"/>
        </w:trPr>
        <w:tc>
          <w:tcPr>
            <w:tcW w:w="557" w:type="dxa"/>
            <w:vMerge w:val="continue"/>
            <w:tcBorders>
              <w:left w:val="single" w:color="000000" w:sz="6" w:space="0"/>
              <w:bottom w:val="single" w:color="000000" w:sz="6" w:space="0"/>
              <w:right w:val="single" w:color="000000" w:sz="6" w:space="0"/>
            </w:tcBorders>
            <w:vAlign w:val="center"/>
          </w:tcPr>
          <w:p>
            <w:pPr>
              <w:jc w:val="center"/>
              <w:rPr>
                <w:rFonts w:ascii="仿宋" w:hAnsi="仿宋" w:eastAsia="仿宋" w:cs="仿宋"/>
                <w:color w:val="auto"/>
                <w:szCs w:val="21"/>
              </w:rPr>
            </w:pPr>
          </w:p>
        </w:tc>
        <w:tc>
          <w:tcPr>
            <w:tcW w:w="643" w:type="dxa"/>
            <w:tcBorders>
              <w:top w:val="single" w:color="000000" w:sz="6" w:space="0"/>
              <w:left w:val="single" w:color="000000" w:sz="6" w:space="0"/>
              <w:bottom w:val="single" w:color="000000" w:sz="6" w:space="0"/>
              <w:right w:val="single" w:color="000000" w:sz="6" w:space="0"/>
            </w:tcBorders>
            <w:vAlign w:val="center"/>
          </w:tcPr>
          <w:p>
            <w:pPr>
              <w:pStyle w:val="20"/>
              <w:spacing w:line="274" w:lineRule="exact"/>
              <w:jc w:val="center"/>
              <w:rPr>
                <w:rFonts w:ascii="仿宋" w:hAnsi="仿宋" w:eastAsia="仿宋" w:cs="仿宋"/>
                <w:color w:val="auto"/>
                <w:szCs w:val="21"/>
              </w:rPr>
            </w:pPr>
            <w:r>
              <w:rPr>
                <w:rFonts w:hint="eastAsia" w:ascii="仿宋" w:hAnsi="仿宋" w:eastAsia="仿宋" w:cs="仿宋"/>
                <w:color w:val="auto"/>
                <w:szCs w:val="21"/>
              </w:rPr>
              <w:t>四</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2"/>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5"/>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right="96"/>
              <w:jc w:val="righ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2"/>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right="95"/>
              <w:jc w:val="righ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114"/>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jc w:val="center"/>
              <w:rPr>
                <w:rFonts w:ascii="Wingdings" w:hAnsi="Wingdings" w:eastAsia="Wingdings" w:cs="Wingdings"/>
                <w:color w:val="auto"/>
                <w:sz w:val="24"/>
                <w:szCs w:val="24"/>
              </w:rPr>
            </w:pPr>
            <w:r>
              <w:rPr>
                <w:rFonts w:ascii="Wingdings" w:hAnsi="Wingdings" w:eastAsia="Wingdings" w:cs="Wingdings"/>
                <w:color w:val="auto"/>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4"/>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jc w:val="center"/>
              <w:rPr>
                <w:rFonts w:ascii="Wingdings" w:hAnsi="Wingdings" w:eastAsia="Wingdings" w:cs="Wingdings"/>
                <w:color w:val="auto"/>
                <w:sz w:val="24"/>
                <w:szCs w:val="24"/>
              </w:rPr>
            </w:pPr>
            <w:r>
              <w:rPr>
                <w:color w:val="auto"/>
                <w:position w:val="1"/>
                <w:sz w:val="28"/>
                <w:szCs w:val="28"/>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3"/>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1"/>
              <w:jc w:val="center"/>
              <w:rPr>
                <w:rFonts w:ascii="Wingdings" w:hAnsi="Wingdings" w:eastAsia="Wingdings" w:cs="Wingdings"/>
                <w:color w:val="auto"/>
                <w:sz w:val="24"/>
                <w:szCs w:val="24"/>
              </w:rPr>
            </w:pPr>
            <w:r>
              <w:rPr>
                <w:rFonts w:ascii="Wingdings" w:hAnsi="Wingdings" w:eastAsia="Wingdings" w:cs="Wingdings"/>
                <w:color w:val="auto"/>
                <w:w w:val="99"/>
                <w:sz w:val="24"/>
                <w:szCs w:val="24"/>
              </w:rPr>
              <w:sym w:font="Wingdings" w:char="00A8"/>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3"/>
              <w:jc w:val="center"/>
              <w:rPr>
                <w:rFonts w:ascii="Wingdings" w:hAnsi="Wingdings" w:eastAsia="Wingdings" w:cs="Wingdings"/>
                <w:color w:val="auto"/>
                <w:sz w:val="24"/>
                <w:szCs w:val="24"/>
              </w:rPr>
            </w:pPr>
            <w:r>
              <w:rPr>
                <w:rFonts w:ascii="Wingdings" w:hAnsi="Wingdings" w:eastAsia="Wingdings" w:cs="Wingdings"/>
                <w:color w:val="auto"/>
                <w:w w:val="99"/>
                <w:sz w:val="24"/>
                <w:szCs w:val="24"/>
              </w:rPr>
              <w:sym w:font="Wingdings" w:char="00A8"/>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99"/>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2"/>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99"/>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39"/>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36"/>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r>
      <w:tr>
        <w:tblPrEx>
          <w:tblCellMar>
            <w:top w:w="0" w:type="dxa"/>
            <w:left w:w="0" w:type="dxa"/>
            <w:bottom w:w="0" w:type="dxa"/>
            <w:right w:w="0" w:type="dxa"/>
          </w:tblCellMar>
        </w:tblPrEx>
        <w:trPr>
          <w:trHeight w:val="482" w:hRule="exact"/>
          <w:jc w:val="center"/>
        </w:trPr>
        <w:tc>
          <w:tcPr>
            <w:tcW w:w="557" w:type="dxa"/>
            <w:vMerge w:val="restart"/>
            <w:tcBorders>
              <w:top w:val="single" w:color="000000" w:sz="6" w:space="0"/>
              <w:left w:val="single" w:color="000000" w:sz="6" w:space="0"/>
              <w:right w:val="single" w:color="000000" w:sz="6" w:space="0"/>
            </w:tcBorders>
            <w:vAlign w:val="center"/>
          </w:tcPr>
          <w:p>
            <w:pPr>
              <w:pStyle w:val="20"/>
              <w:spacing w:before="192"/>
              <w:jc w:val="center"/>
              <w:rPr>
                <w:rFonts w:ascii="仿宋" w:hAnsi="仿宋" w:eastAsia="仿宋" w:cs="仿宋"/>
                <w:color w:val="auto"/>
                <w:szCs w:val="21"/>
              </w:rPr>
            </w:pPr>
            <w:r>
              <w:rPr>
                <w:rFonts w:hint="eastAsia" w:ascii="仿宋" w:hAnsi="仿宋" w:eastAsia="仿宋" w:cs="仿宋"/>
                <w:color w:val="auto"/>
                <w:szCs w:val="21"/>
              </w:rPr>
              <w:t>三</w:t>
            </w:r>
          </w:p>
        </w:tc>
        <w:tc>
          <w:tcPr>
            <w:tcW w:w="643" w:type="dxa"/>
            <w:tcBorders>
              <w:top w:val="single" w:color="000000" w:sz="6" w:space="0"/>
              <w:left w:val="single" w:color="000000" w:sz="6" w:space="0"/>
              <w:bottom w:val="single" w:color="000000" w:sz="6" w:space="0"/>
              <w:right w:val="single" w:color="000000" w:sz="6" w:space="0"/>
            </w:tcBorders>
            <w:vAlign w:val="center"/>
          </w:tcPr>
          <w:p>
            <w:pPr>
              <w:pStyle w:val="20"/>
              <w:spacing w:line="274" w:lineRule="exact"/>
              <w:jc w:val="center"/>
              <w:rPr>
                <w:rFonts w:ascii="仿宋" w:hAnsi="仿宋" w:eastAsia="仿宋" w:cs="仿宋"/>
                <w:color w:val="auto"/>
                <w:szCs w:val="21"/>
              </w:rPr>
            </w:pPr>
            <w:r>
              <w:rPr>
                <w:rFonts w:hint="eastAsia" w:ascii="仿宋" w:hAnsi="仿宋" w:eastAsia="仿宋" w:cs="仿宋"/>
                <w:color w:val="auto"/>
                <w:szCs w:val="21"/>
              </w:rPr>
              <w:t>五</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2"/>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5"/>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right="96"/>
              <w:jc w:val="righ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2"/>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right="95"/>
              <w:jc w:val="righ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5"/>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2"/>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5"/>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2"/>
              <w:jc w:val="center"/>
              <w:rPr>
                <w:rFonts w:ascii="Wingdings" w:hAnsi="Wingdings" w:eastAsia="Wingdings" w:cs="Wingdings"/>
                <w:color w:val="auto"/>
                <w:sz w:val="24"/>
                <w:szCs w:val="24"/>
              </w:rPr>
            </w:pPr>
            <w:r>
              <w:rPr>
                <w:color w:val="auto"/>
                <w:position w:val="1"/>
                <w:sz w:val="28"/>
                <w:szCs w:val="28"/>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2"/>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right="95"/>
              <w:jc w:val="right"/>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right="27"/>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right="27"/>
              <w:jc w:val="center"/>
              <w:rPr>
                <w:rFonts w:ascii="Wingdings" w:hAnsi="Wingdings" w:eastAsia="Wingdings" w:cs="Wingdings"/>
                <w:color w:val="auto"/>
                <w:sz w:val="24"/>
                <w:szCs w:val="24"/>
              </w:rPr>
            </w:pPr>
            <w:r>
              <w:rPr>
                <w:rFonts w:ascii="Wingdings" w:hAnsi="Wingdings" w:eastAsia="Wingdings" w:cs="Wingdings"/>
                <w:color w:val="auto"/>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40"/>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37"/>
              <w:jc w:val="center"/>
              <w:rPr>
                <w:rFonts w:ascii="Wingdings" w:hAnsi="Wingdings" w:eastAsia="Wingdings" w:cs="Wingdings"/>
                <w:color w:val="auto"/>
                <w:sz w:val="24"/>
                <w:szCs w:val="24"/>
              </w:rPr>
            </w:pPr>
            <w:r>
              <w:rPr>
                <w:rFonts w:ascii="Wingdings" w:hAnsi="Wingdings" w:eastAsia="Wingdings" w:cs="Wingdings"/>
                <w:color w:val="auto"/>
                <w:w w:val="99"/>
                <w:sz w:val="24"/>
                <w:szCs w:val="24"/>
              </w:rPr>
              <w:t></w:t>
            </w:r>
          </w:p>
        </w:tc>
      </w:tr>
      <w:tr>
        <w:tblPrEx>
          <w:tblCellMar>
            <w:top w:w="0" w:type="dxa"/>
            <w:left w:w="0" w:type="dxa"/>
            <w:bottom w:w="0" w:type="dxa"/>
            <w:right w:w="0" w:type="dxa"/>
          </w:tblCellMar>
        </w:tblPrEx>
        <w:trPr>
          <w:trHeight w:val="485" w:hRule="exact"/>
          <w:jc w:val="center"/>
        </w:trPr>
        <w:tc>
          <w:tcPr>
            <w:tcW w:w="557" w:type="dxa"/>
            <w:vMerge w:val="continue"/>
            <w:tcBorders>
              <w:left w:val="single" w:color="000000" w:sz="6" w:space="0"/>
              <w:bottom w:val="single" w:color="000000" w:sz="6" w:space="0"/>
              <w:right w:val="single" w:color="000000" w:sz="6" w:space="0"/>
            </w:tcBorders>
            <w:vAlign w:val="center"/>
          </w:tcPr>
          <w:p>
            <w:pPr>
              <w:jc w:val="center"/>
              <w:rPr>
                <w:rFonts w:ascii="仿宋" w:hAnsi="仿宋" w:eastAsia="仿宋" w:cs="仿宋"/>
                <w:color w:val="auto"/>
                <w:szCs w:val="21"/>
              </w:rPr>
            </w:pPr>
          </w:p>
        </w:tc>
        <w:tc>
          <w:tcPr>
            <w:tcW w:w="643" w:type="dxa"/>
            <w:tcBorders>
              <w:top w:val="single" w:color="000000" w:sz="6" w:space="0"/>
              <w:left w:val="single" w:color="000000" w:sz="6" w:space="0"/>
              <w:bottom w:val="single" w:color="000000" w:sz="6" w:space="0"/>
              <w:right w:val="single" w:color="000000" w:sz="6" w:space="0"/>
            </w:tcBorders>
            <w:vAlign w:val="center"/>
          </w:tcPr>
          <w:p>
            <w:pPr>
              <w:pStyle w:val="20"/>
              <w:spacing w:line="274" w:lineRule="exact"/>
              <w:jc w:val="center"/>
              <w:rPr>
                <w:rFonts w:ascii="仿宋" w:hAnsi="仿宋" w:eastAsia="仿宋" w:cs="仿宋"/>
                <w:color w:val="auto"/>
                <w:szCs w:val="21"/>
              </w:rPr>
            </w:pPr>
            <w:r>
              <w:rPr>
                <w:rFonts w:hint="eastAsia" w:ascii="仿宋" w:hAnsi="仿宋" w:eastAsia="仿宋" w:cs="仿宋"/>
                <w:color w:val="auto"/>
                <w:szCs w:val="21"/>
              </w:rPr>
              <w:t>六</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right="29"/>
              <w:jc w:val="center"/>
              <w:rPr>
                <w:rFonts w:ascii="Wingdings" w:hAnsi="Wingdings" w:eastAsia="Wingdings" w:cs="Wingdings"/>
                <w:color w:val="auto"/>
                <w:sz w:val="24"/>
                <w:szCs w:val="24"/>
              </w:rPr>
            </w:pPr>
            <w:r>
              <w:rPr>
                <w:rFonts w:ascii="Wingdings" w:hAnsi="Wingdings" w:eastAsia="Wingdings" w:cs="Wingdings"/>
                <w:color w:val="auto"/>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right="27"/>
              <w:jc w:val="center"/>
              <w:rPr>
                <w:rFonts w:ascii="Wingdings" w:hAnsi="Wingdings" w:eastAsia="Wingdings" w:cs="Wingdings"/>
                <w:color w:val="auto"/>
                <w:sz w:val="24"/>
                <w:szCs w:val="24"/>
              </w:rPr>
            </w:pPr>
            <w:r>
              <w:rPr>
                <w:rFonts w:ascii="Wingdings" w:hAnsi="Wingdings" w:eastAsia="Wingdings" w:cs="Wingdings"/>
                <w:color w:val="auto"/>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right="130"/>
              <w:jc w:val="right"/>
              <w:rPr>
                <w:rFonts w:ascii="Wingdings" w:hAnsi="Wingdings" w:eastAsia="Wingdings" w:cs="Wingdings"/>
                <w:color w:val="auto"/>
                <w:sz w:val="24"/>
                <w:szCs w:val="24"/>
              </w:rPr>
            </w:pPr>
            <w:r>
              <w:rPr>
                <w:rFonts w:ascii="Wingdings" w:hAnsi="Wingdings" w:eastAsia="Wingdings" w:cs="Wingdings"/>
                <w:color w:val="auto"/>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right="29"/>
              <w:jc w:val="center"/>
              <w:rPr>
                <w:rFonts w:ascii="Wingdings" w:hAnsi="Wingdings" w:eastAsia="Wingdings" w:cs="Wingdings"/>
                <w:color w:val="auto"/>
                <w:sz w:val="24"/>
                <w:szCs w:val="24"/>
              </w:rPr>
            </w:pPr>
            <w:r>
              <w:rPr>
                <w:rFonts w:ascii="Wingdings" w:hAnsi="Wingdings" w:eastAsia="Wingdings" w:cs="Wingdings"/>
                <w:color w:val="auto"/>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right="128"/>
              <w:jc w:val="right"/>
              <w:rPr>
                <w:rFonts w:ascii="Wingdings" w:hAnsi="Wingdings" w:eastAsia="Wingdings" w:cs="Wingdings"/>
                <w:color w:val="auto"/>
                <w:sz w:val="24"/>
                <w:szCs w:val="24"/>
              </w:rPr>
            </w:pPr>
            <w:r>
              <w:rPr>
                <w:rFonts w:ascii="Wingdings" w:hAnsi="Wingdings" w:eastAsia="Wingdings" w:cs="Wingdings"/>
                <w:color w:val="auto"/>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right="27"/>
              <w:jc w:val="center"/>
              <w:rPr>
                <w:rFonts w:ascii="Wingdings" w:hAnsi="Wingdings" w:eastAsia="Wingdings" w:cs="Wingdings"/>
                <w:color w:val="auto"/>
                <w:sz w:val="24"/>
                <w:szCs w:val="24"/>
              </w:rPr>
            </w:pPr>
            <w:r>
              <w:rPr>
                <w:rFonts w:ascii="Wingdings" w:hAnsi="Wingdings" w:eastAsia="Wingdings" w:cs="Wingdings"/>
                <w:color w:val="auto"/>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right="27"/>
              <w:jc w:val="center"/>
              <w:rPr>
                <w:rFonts w:ascii="Wingdings" w:hAnsi="Wingdings" w:eastAsia="Wingdings" w:cs="Wingdings"/>
                <w:color w:val="auto"/>
                <w:sz w:val="24"/>
                <w:szCs w:val="24"/>
              </w:rPr>
            </w:pPr>
            <w:r>
              <w:rPr>
                <w:rFonts w:ascii="Wingdings" w:hAnsi="Wingdings" w:eastAsia="Wingdings" w:cs="Wingdings"/>
                <w:color w:val="auto"/>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right="29"/>
              <w:jc w:val="center"/>
              <w:rPr>
                <w:rFonts w:ascii="Wingdings" w:hAnsi="Wingdings" w:eastAsia="Wingdings" w:cs="Wingdings"/>
                <w:color w:val="auto"/>
                <w:sz w:val="24"/>
                <w:szCs w:val="24"/>
              </w:rPr>
            </w:pPr>
            <w:r>
              <w:rPr>
                <w:rFonts w:ascii="Wingdings" w:hAnsi="Wingdings" w:eastAsia="Wingdings" w:cs="Wingdings"/>
                <w:color w:val="auto"/>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right="29"/>
              <w:jc w:val="center"/>
              <w:rPr>
                <w:rFonts w:ascii="Wingdings" w:hAnsi="Wingdings" w:eastAsia="Wingdings" w:cs="Wingdings"/>
                <w:color w:val="auto"/>
                <w:sz w:val="24"/>
                <w:szCs w:val="24"/>
              </w:rPr>
            </w:pPr>
            <w:r>
              <w:rPr>
                <w:rFonts w:ascii="Wingdings" w:hAnsi="Wingdings" w:eastAsia="Wingdings" w:cs="Wingdings"/>
                <w:color w:val="auto"/>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right="27"/>
              <w:jc w:val="center"/>
              <w:rPr>
                <w:rFonts w:ascii="Wingdings" w:hAnsi="Wingdings" w:eastAsia="Wingdings" w:cs="Wingdings"/>
                <w:color w:val="auto"/>
                <w:sz w:val="24"/>
                <w:szCs w:val="24"/>
              </w:rPr>
            </w:pPr>
            <w:r>
              <w:rPr>
                <w:rFonts w:ascii="Wingdings" w:hAnsi="Wingdings" w:eastAsia="Wingdings" w:cs="Wingdings"/>
                <w:color w:val="auto"/>
                <w:sz w:val="24"/>
                <w:szCs w:val="24"/>
              </w:rPr>
              <w:t></w:t>
            </w: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98"/>
              <w:ind w:left="100"/>
              <w:jc w:val="left"/>
              <w:rPr>
                <w:rFonts w:ascii="Wingdings" w:hAnsi="Wingdings" w:eastAsia="Wingdings" w:cs="Wingdings"/>
                <w:color w:val="auto"/>
                <w:sz w:val="24"/>
                <w:szCs w:val="24"/>
              </w:rPr>
            </w:pPr>
            <w:r>
              <w:rPr>
                <w:rFonts w:ascii="Wingdings" w:hAnsi="Wingdings" w:eastAsia="Wingdings" w:cs="Wingdings"/>
                <w:color w:val="auto"/>
                <w:sz w:val="24"/>
                <w:szCs w:val="24"/>
              </w:rPr>
              <w:t></w:t>
            </w:r>
          </w:p>
        </w:tc>
        <w:tc>
          <w:tcPr>
            <w:tcW w:w="425" w:type="dxa"/>
            <w:tcBorders>
              <w:top w:val="single" w:color="000000" w:sz="6" w:space="0"/>
              <w:left w:val="single" w:color="000000" w:sz="6" w:space="0"/>
              <w:bottom w:val="single" w:color="000000" w:sz="6" w:space="0"/>
              <w:right w:val="single" w:color="000000" w:sz="6" w:space="0"/>
            </w:tcBorders>
            <w:vAlign w:val="top"/>
          </w:tcPr>
          <w:p>
            <w:pPr>
              <w:pStyle w:val="20"/>
              <w:spacing w:before="98"/>
              <w:ind w:left="100" w:leftChars="0"/>
              <w:jc w:val="left"/>
              <w:rPr>
                <w:rFonts w:ascii="Wingdings" w:hAnsi="Wingdings" w:eastAsia="Wingdings" w:cs="Wingdings"/>
                <w:color w:val="auto"/>
                <w:kern w:val="2"/>
                <w:sz w:val="24"/>
                <w:szCs w:val="24"/>
                <w:lang w:val="zh-CN" w:eastAsia="zh-CN" w:bidi="zh-CN"/>
              </w:rPr>
            </w:pPr>
            <w:r>
              <w:rPr>
                <w:rFonts w:ascii="Wingdings" w:hAnsi="Wingdings" w:eastAsia="Wingdings" w:cs="Wingdings"/>
                <w:color w:val="auto"/>
                <w:w w:val="99"/>
                <w:sz w:val="24"/>
                <w:szCs w:val="24"/>
              </w:rPr>
              <w:t></w:t>
            </w:r>
          </w:p>
        </w:tc>
        <w:tc>
          <w:tcPr>
            <w:tcW w:w="427" w:type="dxa"/>
            <w:tcBorders>
              <w:top w:val="single" w:color="000000" w:sz="6" w:space="0"/>
              <w:left w:val="single" w:color="000000" w:sz="6" w:space="0"/>
              <w:bottom w:val="single" w:color="000000" w:sz="6" w:space="0"/>
              <w:right w:val="single" w:color="000000" w:sz="6" w:space="0"/>
            </w:tcBorders>
            <w:vAlign w:val="top"/>
          </w:tcPr>
          <w:p>
            <w:pPr>
              <w:pStyle w:val="20"/>
              <w:spacing w:before="98"/>
              <w:ind w:left="1" w:leftChars="0"/>
              <w:jc w:val="center"/>
              <w:rPr>
                <w:rFonts w:ascii="Wingdings" w:hAnsi="Wingdings" w:eastAsia="Wingdings" w:cs="Wingdings"/>
                <w:color w:val="auto"/>
                <w:kern w:val="2"/>
                <w:sz w:val="24"/>
                <w:szCs w:val="24"/>
                <w:lang w:val="zh-CN" w:eastAsia="zh-CN" w:bidi="zh-CN"/>
              </w:rPr>
            </w:pPr>
            <w:r>
              <w:rPr>
                <w:rFonts w:ascii="Wingdings" w:hAnsi="Wingdings" w:eastAsia="Wingdings" w:cs="Wingdings"/>
                <w:color w:val="auto"/>
                <w:w w:val="99"/>
                <w:sz w:val="24"/>
                <w:szCs w:val="24"/>
              </w:rPr>
              <w:t></w:t>
            </w:r>
          </w:p>
        </w:tc>
        <w:tc>
          <w:tcPr>
            <w:tcW w:w="425" w:type="dxa"/>
            <w:tcBorders>
              <w:top w:val="single" w:color="000000" w:sz="6" w:space="0"/>
              <w:left w:val="single" w:color="000000" w:sz="6" w:space="0"/>
              <w:bottom w:val="single" w:color="000000" w:sz="6" w:space="0"/>
              <w:right w:val="single" w:color="000000" w:sz="6" w:space="0"/>
            </w:tcBorders>
          </w:tcPr>
          <w:p>
            <w:pPr>
              <w:pStyle w:val="20"/>
              <w:spacing w:before="98"/>
              <w:ind w:left="1"/>
              <w:jc w:val="center"/>
              <w:rPr>
                <w:rFonts w:ascii="Wingdings" w:hAnsi="Wingdings" w:eastAsia="Wingdings" w:cs="Wingdings"/>
                <w:color w:val="auto"/>
                <w:sz w:val="24"/>
                <w:szCs w:val="24"/>
              </w:rPr>
            </w:pPr>
          </w:p>
        </w:tc>
        <w:tc>
          <w:tcPr>
            <w:tcW w:w="427" w:type="dxa"/>
            <w:tcBorders>
              <w:top w:val="single" w:color="000000" w:sz="6" w:space="0"/>
              <w:left w:val="single" w:color="000000" w:sz="6" w:space="0"/>
              <w:bottom w:val="single" w:color="000000" w:sz="6" w:space="0"/>
              <w:right w:val="single" w:color="000000" w:sz="6" w:space="0"/>
            </w:tcBorders>
          </w:tcPr>
          <w:p>
            <w:pPr>
              <w:pStyle w:val="20"/>
              <w:spacing w:before="31"/>
              <w:ind w:left="31"/>
              <w:jc w:val="center"/>
              <w:rPr>
                <w:color w:val="auto"/>
                <w:sz w:val="24"/>
                <w:szCs w:val="24"/>
              </w:rPr>
            </w:pPr>
          </w:p>
        </w:tc>
      </w:tr>
    </w:tbl>
    <w:tbl>
      <w:tblPr>
        <w:tblStyle w:val="16"/>
        <w:tblpPr w:leftFromText="180" w:rightFromText="180" w:vertAnchor="text" w:horzAnchor="page" w:tblpXSpec="center" w:tblpY="765"/>
        <w:tblOverlap w:val="never"/>
        <w:tblW w:w="9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731"/>
        <w:gridCol w:w="2887"/>
        <w:gridCol w:w="3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exact"/>
          <w:jc w:val="center"/>
        </w:trPr>
        <w:tc>
          <w:tcPr>
            <w:tcW w:w="3731" w:type="dxa"/>
            <w:vAlign w:val="center"/>
          </w:tcPr>
          <w:p>
            <w:pPr>
              <w:jc w:val="center"/>
              <w:rPr>
                <w:color w:val="auto"/>
                <w:szCs w:val="21"/>
              </w:rPr>
            </w:pPr>
            <w:r>
              <w:rPr>
                <w:rFonts w:ascii="Wingdings" w:hAnsi="Wingdings" w:eastAsia="Wingdings" w:cs="Wingdings"/>
                <w:color w:val="auto"/>
                <w:szCs w:val="21"/>
              </w:rPr>
              <w:t></w:t>
            </w:r>
            <w:r>
              <w:rPr>
                <w:rFonts w:hint="eastAsia" w:ascii="仿宋" w:hAnsi="仿宋" w:eastAsia="仿宋" w:cs="仿宋"/>
                <w:color w:val="auto"/>
                <w:szCs w:val="21"/>
              </w:rPr>
              <w:t>军训技能、入学教育</w:t>
            </w:r>
          </w:p>
        </w:tc>
        <w:tc>
          <w:tcPr>
            <w:tcW w:w="2887" w:type="dxa"/>
            <w:vAlign w:val="center"/>
          </w:tcPr>
          <w:p>
            <w:pPr>
              <w:jc w:val="center"/>
              <w:rPr>
                <w:color w:val="auto"/>
                <w:szCs w:val="21"/>
              </w:rPr>
            </w:pPr>
            <w:r>
              <w:rPr>
                <w:rFonts w:ascii="宋体" w:hAnsi="宋体" w:eastAsia="宋体" w:cs="宋体"/>
                <w:color w:val="auto"/>
                <w:position w:val="1"/>
                <w:szCs w:val="21"/>
              </w:rPr>
              <w:t>★</w:t>
            </w:r>
            <w:r>
              <w:rPr>
                <w:rFonts w:hint="eastAsia" w:ascii="仿宋" w:hAnsi="仿宋" w:eastAsia="仿宋" w:cs="仿宋"/>
                <w:color w:val="auto"/>
                <w:szCs w:val="21"/>
              </w:rPr>
              <w:t>劳动教育、安全教育</w:t>
            </w:r>
          </w:p>
        </w:tc>
        <w:tc>
          <w:tcPr>
            <w:tcW w:w="3114" w:type="dxa"/>
            <w:vAlign w:val="center"/>
          </w:tcPr>
          <w:p>
            <w:pPr>
              <w:jc w:val="center"/>
              <w:rPr>
                <w:color w:val="auto"/>
                <w:szCs w:val="21"/>
              </w:rPr>
            </w:pPr>
            <w:r>
              <w:rPr>
                <w:rFonts w:ascii="Wingdings" w:hAnsi="Wingdings" w:eastAsia="Wingdings" w:cs="Wingdings"/>
                <w:color w:val="auto"/>
                <w:szCs w:val="21"/>
              </w:rPr>
              <w:t></w:t>
            </w:r>
            <w:r>
              <w:rPr>
                <w:rFonts w:hint="eastAsia" w:ascii="仿宋" w:hAnsi="仿宋" w:eastAsia="仿宋" w:cs="仿宋"/>
                <w:color w:val="auto"/>
                <w:szCs w:val="21"/>
              </w:rPr>
              <w:t>课程教学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5" w:hRule="exact"/>
          <w:jc w:val="center"/>
        </w:trPr>
        <w:tc>
          <w:tcPr>
            <w:tcW w:w="3731" w:type="dxa"/>
            <w:vAlign w:val="center"/>
          </w:tcPr>
          <w:p>
            <w:pPr>
              <w:jc w:val="center"/>
              <w:rPr>
                <w:color w:val="auto"/>
                <w:szCs w:val="21"/>
              </w:rPr>
            </w:pPr>
            <w:r>
              <w:rPr>
                <w:rFonts w:ascii="Wingdings" w:hAnsi="Wingdings" w:eastAsia="宋体" w:cs="Wingdings"/>
                <w:color w:val="auto"/>
                <w:kern w:val="0"/>
                <w:szCs w:val="21"/>
                <w:lang w:bidi="ar"/>
              </w:rPr>
              <w:t></w:t>
            </w:r>
            <w:r>
              <w:rPr>
                <w:rStyle w:val="22"/>
                <w:rFonts w:ascii="仿宋" w:hAnsi="仿宋" w:eastAsia="仿宋" w:cs="仿宋"/>
                <w:color w:val="auto"/>
                <w:sz w:val="21"/>
                <w:szCs w:val="21"/>
                <w:lang w:bidi="ar"/>
              </w:rPr>
              <w:t>认识实习</w:t>
            </w:r>
          </w:p>
        </w:tc>
        <w:tc>
          <w:tcPr>
            <w:tcW w:w="2887" w:type="dxa"/>
            <w:vAlign w:val="center"/>
          </w:tcPr>
          <w:p>
            <w:pPr>
              <w:jc w:val="center"/>
              <w:rPr>
                <w:color w:val="auto"/>
                <w:szCs w:val="21"/>
              </w:rPr>
            </w:pPr>
            <w:r>
              <w:rPr>
                <w:rFonts w:ascii="Wingdings" w:hAnsi="Wingdings" w:eastAsia="宋体" w:cs="Wingdings"/>
                <w:color w:val="auto"/>
                <w:kern w:val="0"/>
                <w:szCs w:val="21"/>
                <w:lang w:bidi="ar"/>
              </w:rPr>
              <w:t></w:t>
            </w:r>
            <w:r>
              <w:rPr>
                <w:rStyle w:val="22"/>
                <w:rFonts w:ascii="仿宋" w:hAnsi="仿宋" w:eastAsia="仿宋" w:cs="仿宋"/>
                <w:color w:val="auto"/>
                <w:sz w:val="21"/>
                <w:szCs w:val="21"/>
                <w:lang w:bidi="ar"/>
              </w:rPr>
              <w:t>跟岗实习</w:t>
            </w:r>
          </w:p>
        </w:tc>
        <w:tc>
          <w:tcPr>
            <w:tcW w:w="3114" w:type="dxa"/>
            <w:vAlign w:val="center"/>
          </w:tcPr>
          <w:p>
            <w:pPr>
              <w:jc w:val="center"/>
              <w:rPr>
                <w:color w:val="auto"/>
                <w:szCs w:val="21"/>
              </w:rPr>
            </w:pPr>
            <w:r>
              <w:rPr>
                <w:rFonts w:ascii="Wingdings" w:hAnsi="Wingdings" w:eastAsia="宋体" w:cs="Wingdings"/>
                <w:color w:val="auto"/>
                <w:kern w:val="0"/>
                <w:szCs w:val="21"/>
                <w:lang w:bidi="ar"/>
              </w:rPr>
              <w:t></w:t>
            </w:r>
            <w:r>
              <w:rPr>
                <w:rStyle w:val="22"/>
                <w:rFonts w:ascii="仿宋" w:hAnsi="仿宋" w:eastAsia="仿宋" w:cs="仿宋"/>
                <w:color w:val="auto"/>
                <w:sz w:val="21"/>
                <w:szCs w:val="21"/>
                <w:lang w:bidi="ar"/>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jc w:val="center"/>
        </w:trPr>
        <w:tc>
          <w:tcPr>
            <w:tcW w:w="3731" w:type="dxa"/>
            <w:vAlign w:val="center"/>
          </w:tcPr>
          <w:p>
            <w:pPr>
              <w:jc w:val="center"/>
              <w:rPr>
                <w:color w:val="auto"/>
                <w:szCs w:val="21"/>
              </w:rPr>
            </w:pPr>
            <w:r>
              <w:rPr>
                <w:rFonts w:ascii="Wingdings" w:hAnsi="Wingdings" w:eastAsia="Wingdings" w:cs="Wingdings"/>
                <w:color w:val="auto"/>
                <w:szCs w:val="21"/>
              </w:rPr>
              <w:t></w:t>
            </w:r>
            <w:r>
              <w:rPr>
                <w:rFonts w:hint="eastAsia" w:ascii="仿宋" w:hAnsi="仿宋" w:eastAsia="仿宋" w:cs="仿宋"/>
                <w:color w:val="auto"/>
                <w:szCs w:val="21"/>
              </w:rPr>
              <w:t>复习考试</w:t>
            </w:r>
          </w:p>
        </w:tc>
        <w:tc>
          <w:tcPr>
            <w:tcW w:w="2887" w:type="dxa"/>
            <w:vAlign w:val="center"/>
          </w:tcPr>
          <w:p>
            <w:pPr>
              <w:jc w:val="center"/>
              <w:rPr>
                <w:color w:val="auto"/>
                <w:szCs w:val="21"/>
              </w:rPr>
            </w:pPr>
            <w:r>
              <w:rPr>
                <w:rFonts w:ascii="Wingdings" w:hAnsi="Wingdings" w:eastAsia="Wingdings" w:cs="Wingdings"/>
                <w:color w:val="auto"/>
                <w:szCs w:val="21"/>
              </w:rPr>
              <w:t></w:t>
            </w:r>
            <w:r>
              <w:rPr>
                <w:rFonts w:hint="eastAsia" w:ascii="仿宋" w:hAnsi="仿宋" w:eastAsia="仿宋" w:cs="仿宋"/>
                <w:color w:val="auto"/>
                <w:szCs w:val="21"/>
              </w:rPr>
              <w:t>毕业设计</w:t>
            </w:r>
          </w:p>
        </w:tc>
        <w:tc>
          <w:tcPr>
            <w:tcW w:w="3114" w:type="dxa"/>
            <w:vAlign w:val="center"/>
          </w:tcPr>
          <w:p>
            <w:pPr>
              <w:jc w:val="center"/>
              <w:rPr>
                <w:color w:val="auto"/>
                <w:szCs w:val="21"/>
              </w:rPr>
            </w:pPr>
            <w:r>
              <w:rPr>
                <w:rFonts w:ascii="宋体" w:hAnsi="宋体" w:eastAsia="宋体" w:cs="宋体"/>
                <w:color w:val="auto"/>
                <w:position w:val="1"/>
                <w:szCs w:val="21"/>
              </w:rPr>
              <w:t>※</w:t>
            </w:r>
            <w:r>
              <w:rPr>
                <w:rFonts w:hint="eastAsia" w:ascii="仿宋" w:hAnsi="仿宋" w:eastAsia="仿宋" w:cs="仿宋"/>
                <w:color w:val="auto"/>
                <w:szCs w:val="21"/>
              </w:rPr>
              <w:t>毕业教育</w:t>
            </w:r>
          </w:p>
        </w:tc>
      </w:tr>
    </w:tbl>
    <w:p>
      <w:pPr>
        <w:rPr>
          <w:color w:val="auto"/>
        </w:rPr>
      </w:pPr>
    </w:p>
    <w:p>
      <w:pPr>
        <w:rPr>
          <w:rFonts w:hint="eastAsia" w:ascii="仿宋" w:hAnsi="仿宋" w:eastAsia="仿宋" w:cs="仿宋"/>
          <w:b/>
          <w:color w:val="auto"/>
          <w:sz w:val="30"/>
          <w:szCs w:val="30"/>
        </w:rPr>
        <w:sectPr>
          <w:footerReference r:id="rId8" w:type="default"/>
          <w:pgSz w:w="11911" w:h="16838"/>
          <w:pgMar w:top="1502" w:right="941" w:bottom="918" w:left="958" w:header="0" w:footer="658" w:gutter="0"/>
          <w:pgNumType w:fmt="decimal" w:start="1"/>
          <w:cols w:space="425" w:num="1"/>
        </w:sectPr>
      </w:pPr>
    </w:p>
    <w:p>
      <w:pPr>
        <w:pStyle w:val="4"/>
        <w:bidi w:val="0"/>
        <w:spacing w:line="240" w:lineRule="auto"/>
        <w:rPr>
          <w:color w:val="auto"/>
        </w:rPr>
      </w:pPr>
      <w:bookmarkStart w:id="38" w:name="_Toc17991"/>
      <w:bookmarkStart w:id="39" w:name="_Toc13702"/>
      <w:r>
        <w:rPr>
          <w:rFonts w:hint="eastAsia"/>
          <w:color w:val="auto"/>
        </w:rPr>
        <w:t>八、教学进程总体安排</w:t>
      </w:r>
      <w:bookmarkEnd w:id="38"/>
      <w:bookmarkEnd w:id="39"/>
    </w:p>
    <w:p>
      <w:pPr>
        <w:pStyle w:val="7"/>
        <w:bidi w:val="0"/>
        <w:spacing w:line="240" w:lineRule="auto"/>
        <w:rPr>
          <w:color w:val="auto"/>
        </w:rPr>
      </w:pPr>
      <w:bookmarkStart w:id="40" w:name="_Toc15186"/>
      <w:r>
        <w:rPr>
          <w:rFonts w:hint="eastAsia"/>
          <w:color w:val="auto"/>
        </w:rPr>
        <w:t>表</w:t>
      </w:r>
      <w:r>
        <w:rPr>
          <w:rFonts w:hint="eastAsia"/>
          <w:color w:val="auto"/>
          <w:lang w:val="en-US" w:eastAsia="zh-CN"/>
        </w:rPr>
        <w:t>6</w:t>
      </w:r>
      <w:r>
        <w:rPr>
          <w:rFonts w:hint="eastAsia"/>
          <w:color w:val="auto"/>
        </w:rPr>
        <w:t xml:space="preserve"> 学分和学时分布表</w:t>
      </w:r>
      <w:bookmarkEnd w:id="40"/>
    </w:p>
    <w:tbl>
      <w:tblPr>
        <w:tblStyle w:val="16"/>
        <w:tblW w:w="11185" w:type="dxa"/>
        <w:tblInd w:w="1910" w:type="dxa"/>
        <w:shd w:val="clear" w:color="auto" w:fill="auto"/>
        <w:tblLayout w:type="fixed"/>
        <w:tblCellMar>
          <w:top w:w="0" w:type="dxa"/>
          <w:left w:w="0" w:type="dxa"/>
          <w:bottom w:w="0" w:type="dxa"/>
          <w:right w:w="0" w:type="dxa"/>
        </w:tblCellMar>
      </w:tblPr>
      <w:tblGrid>
        <w:gridCol w:w="1712"/>
        <w:gridCol w:w="1163"/>
        <w:gridCol w:w="1025"/>
        <w:gridCol w:w="861"/>
        <w:gridCol w:w="699"/>
        <w:gridCol w:w="1336"/>
        <w:gridCol w:w="1274"/>
        <w:gridCol w:w="525"/>
        <w:gridCol w:w="525"/>
        <w:gridCol w:w="525"/>
        <w:gridCol w:w="525"/>
        <w:gridCol w:w="519"/>
        <w:gridCol w:w="496"/>
      </w:tblGrid>
      <w:tr>
        <w:tblPrEx>
          <w:shd w:val="clear" w:color="auto" w:fill="auto"/>
          <w:tblCellMar>
            <w:top w:w="0" w:type="dxa"/>
            <w:left w:w="0" w:type="dxa"/>
            <w:bottom w:w="0" w:type="dxa"/>
            <w:right w:w="0" w:type="dxa"/>
          </w:tblCellMar>
        </w:tblPrEx>
        <w:trPr>
          <w:trHeight w:val="270" w:hRule="atLeast"/>
        </w:trPr>
        <w:tc>
          <w:tcPr>
            <w:tcW w:w="17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课程类别</w:t>
            </w:r>
          </w:p>
        </w:tc>
        <w:tc>
          <w:tcPr>
            <w:tcW w:w="116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门数</w:t>
            </w:r>
          </w:p>
        </w:tc>
        <w:tc>
          <w:tcPr>
            <w:tcW w:w="10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学分</w:t>
            </w:r>
          </w:p>
        </w:tc>
        <w:tc>
          <w:tcPr>
            <w:tcW w:w="417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课程学时分配</w:t>
            </w:r>
          </w:p>
        </w:tc>
        <w:tc>
          <w:tcPr>
            <w:tcW w:w="3115"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开课学期、课时数</w:t>
            </w:r>
          </w:p>
        </w:tc>
      </w:tr>
      <w:tr>
        <w:tblPrEx>
          <w:shd w:val="clear" w:color="auto" w:fill="auto"/>
          <w:tblCellMar>
            <w:top w:w="0" w:type="dxa"/>
            <w:left w:w="0" w:type="dxa"/>
            <w:bottom w:w="0" w:type="dxa"/>
            <w:right w:w="0" w:type="dxa"/>
          </w:tblCellMar>
        </w:tblPrEx>
        <w:trPr>
          <w:trHeight w:val="270" w:hRule="atLeast"/>
        </w:trPr>
        <w:tc>
          <w:tcPr>
            <w:tcW w:w="1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17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311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占比</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总计</w:t>
            </w:r>
          </w:p>
        </w:tc>
        <w:tc>
          <w:tcPr>
            <w:tcW w:w="13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课堂教学</w:t>
            </w: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实践教学</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r>
      <w:tr>
        <w:tblPrEx>
          <w:shd w:val="clear" w:color="auto" w:fill="auto"/>
          <w:tblCellMar>
            <w:top w:w="0" w:type="dxa"/>
            <w:left w:w="0" w:type="dxa"/>
            <w:bottom w:w="0" w:type="dxa"/>
            <w:right w:w="0" w:type="dxa"/>
          </w:tblCellMar>
        </w:tblPrEx>
        <w:trPr>
          <w:trHeight w:val="285" w:hRule="atLeast"/>
        </w:trPr>
        <w:tc>
          <w:tcPr>
            <w:tcW w:w="17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公共基础课</w:t>
            </w:r>
          </w:p>
        </w:tc>
        <w:tc>
          <w:tcPr>
            <w:tcW w:w="11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17</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39</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25.5%</w:t>
            </w: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624</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406</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218</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296</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216</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48</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44</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7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专业基础课</w:t>
            </w:r>
          </w:p>
        </w:tc>
        <w:tc>
          <w:tcPr>
            <w:tcW w:w="11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14</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9.2%</w:t>
            </w: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224</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186</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102</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128</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64</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7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专业核心课</w:t>
            </w:r>
          </w:p>
        </w:tc>
        <w:tc>
          <w:tcPr>
            <w:tcW w:w="11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30</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19.6%</w:t>
            </w: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480</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303</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231</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256</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192</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7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专业拓展课</w:t>
            </w:r>
          </w:p>
        </w:tc>
        <w:tc>
          <w:tcPr>
            <w:tcW w:w="11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7.8%</w:t>
            </w: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192</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118</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74</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128</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7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公共实践课</w:t>
            </w:r>
          </w:p>
        </w:tc>
        <w:tc>
          <w:tcPr>
            <w:tcW w:w="11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7</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25</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16.3%</w:t>
            </w: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600</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14</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586</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36</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28</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28</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456</w:t>
            </w:r>
          </w:p>
        </w:tc>
      </w:tr>
      <w:tr>
        <w:tblPrEx>
          <w:shd w:val="clear" w:color="auto" w:fill="auto"/>
          <w:tblCellMar>
            <w:top w:w="0" w:type="dxa"/>
            <w:left w:w="0" w:type="dxa"/>
            <w:bottom w:w="0" w:type="dxa"/>
            <w:right w:w="0" w:type="dxa"/>
          </w:tblCellMar>
        </w:tblPrEx>
        <w:trPr>
          <w:trHeight w:val="285" w:hRule="atLeast"/>
        </w:trPr>
        <w:tc>
          <w:tcPr>
            <w:tcW w:w="17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专业实践课</w:t>
            </w:r>
          </w:p>
        </w:tc>
        <w:tc>
          <w:tcPr>
            <w:tcW w:w="11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18</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11.8%</w:t>
            </w: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288</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198</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112</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176</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7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选修课</w:t>
            </w:r>
          </w:p>
        </w:tc>
        <w:tc>
          <w:tcPr>
            <w:tcW w:w="11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lang w:val="en-US" w:eastAsia="zh-CN"/>
              </w:rPr>
            </w:pPr>
            <w:r>
              <w:rPr>
                <w:rFonts w:hint="eastAsia" w:ascii="宋体" w:hAnsi="宋体" w:eastAsia="宋体" w:cs="宋体"/>
                <w:i w:val="0"/>
                <w:color w:val="auto"/>
                <w:sz w:val="18"/>
                <w:szCs w:val="18"/>
                <w:u w:val="none"/>
                <w:lang w:val="en-US" w:eastAsia="zh-CN"/>
              </w:rPr>
              <w:t>9</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15</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9.8%</w:t>
            </w: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208</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104</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104</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7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总计</w:t>
            </w:r>
          </w:p>
        </w:tc>
        <w:tc>
          <w:tcPr>
            <w:tcW w:w="116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lang w:val="en-US" w:eastAsia="zh-CN"/>
              </w:rPr>
            </w:pPr>
            <w:r>
              <w:rPr>
                <w:rFonts w:hint="eastAsia" w:ascii="宋体" w:hAnsi="宋体" w:eastAsia="宋体" w:cs="宋体"/>
                <w:i w:val="0"/>
                <w:color w:val="auto"/>
                <w:sz w:val="18"/>
                <w:szCs w:val="18"/>
                <w:u w:val="none"/>
                <w:lang w:val="en-US" w:eastAsia="zh-CN"/>
              </w:rPr>
              <w:t>63</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153</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100.0%</w:t>
            </w: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2616</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1221</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1513</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468</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540</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444</w:t>
            </w:r>
          </w:p>
        </w:tc>
        <w:tc>
          <w:tcPr>
            <w:tcW w:w="5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408</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456</w:t>
            </w:r>
          </w:p>
        </w:tc>
      </w:tr>
    </w:tbl>
    <w:p>
      <w:pPr>
        <w:pStyle w:val="7"/>
        <w:bidi w:val="0"/>
        <w:spacing w:line="240" w:lineRule="auto"/>
        <w:rPr>
          <w:color w:val="auto"/>
        </w:rPr>
      </w:pPr>
      <w:bookmarkStart w:id="41" w:name="_Toc8821"/>
      <w:r>
        <w:rPr>
          <w:rFonts w:hint="eastAsia"/>
          <w:color w:val="auto"/>
        </w:rPr>
        <w:t>表</w:t>
      </w:r>
      <w:r>
        <w:rPr>
          <w:rFonts w:hint="eastAsia"/>
          <w:color w:val="auto"/>
          <w:lang w:val="en-US" w:eastAsia="zh-CN"/>
        </w:rPr>
        <w:t>7</w:t>
      </w:r>
      <w:r>
        <w:rPr>
          <w:rFonts w:hint="eastAsia"/>
          <w:color w:val="auto"/>
        </w:rPr>
        <w:t xml:space="preserve"> 专业必修课教学进程安排表</w:t>
      </w:r>
      <w:bookmarkEnd w:id="41"/>
    </w:p>
    <w:p>
      <w:pPr>
        <w:pStyle w:val="2"/>
        <w:spacing w:line="240" w:lineRule="auto"/>
        <w:rPr>
          <w:rFonts w:ascii="黑体" w:hAnsi="黑体" w:eastAsia="黑体" w:cs="黑体"/>
          <w:color w:val="auto"/>
          <w:sz w:val="24"/>
          <w:szCs w:val="24"/>
        </w:rPr>
        <w:sectPr>
          <w:type w:val="continuous"/>
          <w:pgSz w:w="16838" w:h="11911" w:orient="landscape"/>
          <w:pgMar w:top="958" w:right="1502" w:bottom="941" w:left="918" w:header="0" w:footer="658" w:gutter="0"/>
          <w:pgNumType w:fmt="decimal"/>
          <w:cols w:space="425" w:num="1"/>
        </w:sectPr>
      </w:pPr>
    </w:p>
    <w:tbl>
      <w:tblPr>
        <w:tblStyle w:val="16"/>
        <w:tblW w:w="15172" w:type="dxa"/>
        <w:jc w:val="center"/>
        <w:shd w:val="clear" w:color="auto" w:fill="auto"/>
        <w:tblLayout w:type="autofit"/>
        <w:tblCellMar>
          <w:top w:w="0" w:type="dxa"/>
          <w:left w:w="0" w:type="dxa"/>
          <w:bottom w:w="0" w:type="dxa"/>
          <w:right w:w="0" w:type="dxa"/>
        </w:tblCellMar>
      </w:tblPr>
      <w:tblGrid>
        <w:gridCol w:w="1165"/>
        <w:gridCol w:w="555"/>
        <w:gridCol w:w="1178"/>
        <w:gridCol w:w="3022"/>
        <w:gridCol w:w="1015"/>
        <w:gridCol w:w="645"/>
        <w:gridCol w:w="1234"/>
        <w:gridCol w:w="1176"/>
        <w:gridCol w:w="525"/>
        <w:gridCol w:w="525"/>
        <w:gridCol w:w="525"/>
        <w:gridCol w:w="525"/>
        <w:gridCol w:w="519"/>
        <w:gridCol w:w="496"/>
        <w:gridCol w:w="1179"/>
        <w:gridCol w:w="888"/>
      </w:tblGrid>
      <w:tr>
        <w:tblPrEx>
          <w:shd w:val="clear" w:color="auto" w:fill="auto"/>
          <w:tblCellMar>
            <w:top w:w="0" w:type="dxa"/>
            <w:left w:w="0" w:type="dxa"/>
            <w:bottom w:w="0" w:type="dxa"/>
            <w:right w:w="0" w:type="dxa"/>
          </w:tblCellMar>
        </w:tblPrEx>
        <w:trPr>
          <w:trHeight w:val="285" w:hRule="atLeast"/>
          <w:jc w:val="center"/>
        </w:trPr>
        <w:tc>
          <w:tcPr>
            <w:tcW w:w="1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课程类别</w:t>
            </w: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序号</w:t>
            </w:r>
          </w:p>
        </w:tc>
        <w:tc>
          <w:tcPr>
            <w:tcW w:w="1178"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课程编码</w:t>
            </w:r>
          </w:p>
        </w:tc>
        <w:tc>
          <w:tcPr>
            <w:tcW w:w="3022"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课程名称</w:t>
            </w:r>
          </w:p>
        </w:tc>
        <w:tc>
          <w:tcPr>
            <w:tcW w:w="101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学分</w:t>
            </w:r>
          </w:p>
        </w:tc>
        <w:tc>
          <w:tcPr>
            <w:tcW w:w="305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课程学时分配</w:t>
            </w:r>
          </w:p>
        </w:tc>
        <w:tc>
          <w:tcPr>
            <w:tcW w:w="3115" w:type="dxa"/>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开课学期、课时数</w:t>
            </w:r>
          </w:p>
        </w:tc>
        <w:tc>
          <w:tcPr>
            <w:tcW w:w="1179"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考核方式</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备注</w:t>
            </w: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11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302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10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305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311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117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117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3022"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101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64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总计</w:t>
            </w:r>
          </w:p>
        </w:tc>
        <w:tc>
          <w:tcPr>
            <w:tcW w:w="123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课堂教学</w:t>
            </w:r>
          </w:p>
        </w:tc>
        <w:tc>
          <w:tcPr>
            <w:tcW w:w="117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实践教学</w:t>
            </w:r>
          </w:p>
        </w:tc>
        <w:tc>
          <w:tcPr>
            <w:tcW w:w="5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w:t>
            </w:r>
          </w:p>
        </w:tc>
        <w:tc>
          <w:tcPr>
            <w:tcW w:w="5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2</w:t>
            </w:r>
          </w:p>
        </w:tc>
        <w:tc>
          <w:tcPr>
            <w:tcW w:w="5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3</w:t>
            </w:r>
          </w:p>
        </w:tc>
        <w:tc>
          <w:tcPr>
            <w:tcW w:w="5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4</w:t>
            </w:r>
          </w:p>
        </w:tc>
        <w:tc>
          <w:tcPr>
            <w:tcW w:w="51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5</w:t>
            </w:r>
          </w:p>
        </w:tc>
        <w:tc>
          <w:tcPr>
            <w:tcW w:w="49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6</w:t>
            </w:r>
          </w:p>
        </w:tc>
        <w:tc>
          <w:tcPr>
            <w:tcW w:w="1179"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公共</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基础课</w:t>
            </w:r>
          </w:p>
        </w:tc>
        <w:tc>
          <w:tcPr>
            <w:tcW w:w="5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pStyle w:val="15"/>
              <w:widowControl/>
              <w:spacing w:line="400" w:lineRule="atLeast"/>
              <w:jc w:val="center"/>
              <w:rPr>
                <w:rFonts w:hint="eastAsia" w:ascii="宋体" w:hAnsi="宋体" w:eastAsia="宋体" w:cs="宋体"/>
                <w:i w:val="0"/>
                <w:color w:val="auto"/>
                <w:sz w:val="18"/>
                <w:szCs w:val="18"/>
                <w:u w:val="none"/>
              </w:rPr>
            </w:pPr>
            <w:r>
              <w:rPr>
                <w:rFonts w:hint="eastAsia" w:asciiTheme="minorEastAsia" w:hAnsiTheme="minorEastAsia" w:cstheme="minorEastAsia"/>
                <w:color w:val="auto"/>
                <w:sz w:val="20"/>
                <w:szCs w:val="20"/>
              </w:rPr>
              <w:t>10010101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思想道德与法治</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40</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48</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kern w:val="0"/>
                <w:sz w:val="18"/>
                <w:szCs w:val="18"/>
                <w:u w:val="none"/>
                <w:lang w:val="en-US" w:eastAsia="zh-CN" w:bidi="ar"/>
              </w:rPr>
            </w:pPr>
          </w:p>
          <w:p>
            <w:pPr>
              <w:keepNext w:val="0"/>
              <w:keepLines w:val="0"/>
              <w:widowControl/>
              <w:suppressLineNumbers w:val="0"/>
              <w:spacing w:line="240" w:lineRule="auto"/>
              <w:jc w:val="center"/>
              <w:textAlignment w:val="center"/>
              <w:rPr>
                <w:rFonts w:hint="eastAsia" w:ascii="宋体" w:hAnsi="宋体" w:eastAsia="宋体" w:cs="宋体"/>
                <w:i w:val="0"/>
                <w:color w:val="auto"/>
                <w:kern w:val="0"/>
                <w:sz w:val="18"/>
                <w:szCs w:val="18"/>
                <w:u w:val="none"/>
                <w:lang w:val="en-US" w:eastAsia="zh-CN" w:bidi="ar"/>
              </w:rPr>
            </w:pPr>
          </w:p>
          <w:p>
            <w:pPr>
              <w:keepNext w:val="0"/>
              <w:keepLines w:val="0"/>
              <w:widowControl/>
              <w:suppressLineNumbers w:val="0"/>
              <w:spacing w:line="240" w:lineRule="auto"/>
              <w:jc w:val="center"/>
              <w:textAlignment w:val="center"/>
              <w:rPr>
                <w:rFonts w:hint="eastAsia" w:ascii="宋体" w:hAnsi="宋体" w:eastAsia="宋体" w:cs="宋体"/>
                <w:i w:val="0"/>
                <w:color w:val="auto"/>
                <w:kern w:val="0"/>
                <w:sz w:val="18"/>
                <w:szCs w:val="18"/>
                <w:u w:val="none"/>
                <w:lang w:val="en-US" w:eastAsia="zh-CN" w:bidi="ar"/>
              </w:rPr>
            </w:pPr>
          </w:p>
          <w:p>
            <w:pPr>
              <w:keepNext w:val="0"/>
              <w:keepLines w:val="0"/>
              <w:widowControl/>
              <w:suppressLineNumbers w:val="0"/>
              <w:spacing w:line="240" w:lineRule="auto"/>
              <w:jc w:val="center"/>
              <w:textAlignment w:val="center"/>
              <w:rPr>
                <w:rFonts w:hint="eastAsia" w:ascii="宋体" w:hAnsi="宋体" w:eastAsia="宋体" w:cs="宋体"/>
                <w:i w:val="0"/>
                <w:color w:val="auto"/>
                <w:kern w:val="0"/>
                <w:sz w:val="18"/>
                <w:szCs w:val="18"/>
                <w:u w:val="none"/>
                <w:lang w:val="en-US" w:eastAsia="zh-CN" w:bidi="ar"/>
              </w:rPr>
            </w:pPr>
          </w:p>
          <w:p>
            <w:pPr>
              <w:keepNext w:val="0"/>
              <w:keepLines w:val="0"/>
              <w:widowControl/>
              <w:suppressLineNumbers w:val="0"/>
              <w:spacing w:line="240" w:lineRule="auto"/>
              <w:jc w:val="center"/>
              <w:textAlignment w:val="center"/>
              <w:rPr>
                <w:rFonts w:hint="eastAsia" w:ascii="宋体" w:hAnsi="宋体" w:eastAsia="宋体" w:cs="宋体"/>
                <w:i w:val="0"/>
                <w:color w:val="auto"/>
                <w:kern w:val="0"/>
                <w:sz w:val="18"/>
                <w:szCs w:val="18"/>
                <w:u w:val="none"/>
                <w:lang w:val="en-US" w:eastAsia="zh-CN" w:bidi="ar"/>
              </w:rPr>
            </w:pPr>
          </w:p>
          <w:p>
            <w:pPr>
              <w:keepNext w:val="0"/>
              <w:keepLines w:val="0"/>
              <w:widowControl/>
              <w:suppressLineNumbers w:val="0"/>
              <w:spacing w:line="240" w:lineRule="auto"/>
              <w:jc w:val="center"/>
              <w:textAlignment w:val="center"/>
              <w:rPr>
                <w:rFonts w:hint="eastAsia" w:ascii="宋体" w:hAnsi="宋体" w:eastAsia="宋体" w:cs="宋体"/>
                <w:i w:val="0"/>
                <w:color w:val="auto"/>
                <w:kern w:val="0"/>
                <w:sz w:val="18"/>
                <w:szCs w:val="18"/>
                <w:u w:val="none"/>
                <w:lang w:val="en-US" w:eastAsia="zh-CN" w:bidi="ar"/>
              </w:rPr>
            </w:pPr>
          </w:p>
          <w:p>
            <w:pPr>
              <w:keepNext w:val="0"/>
              <w:keepLines w:val="0"/>
              <w:widowControl/>
              <w:suppressLineNumbers w:val="0"/>
              <w:spacing w:line="240" w:lineRule="auto"/>
              <w:jc w:val="center"/>
              <w:textAlignment w:val="center"/>
              <w:rPr>
                <w:rFonts w:hint="eastAsia" w:ascii="宋体" w:hAnsi="宋体" w:eastAsia="宋体" w:cs="宋体"/>
                <w:i w:val="0"/>
                <w:color w:val="auto"/>
                <w:kern w:val="0"/>
                <w:sz w:val="18"/>
                <w:szCs w:val="18"/>
                <w:u w:val="none"/>
                <w:lang w:val="en-US" w:eastAsia="zh-CN" w:bidi="ar"/>
              </w:rPr>
            </w:pPr>
          </w:p>
          <w:p>
            <w:pPr>
              <w:keepNext w:val="0"/>
              <w:keepLines w:val="0"/>
              <w:widowControl/>
              <w:suppressLineNumbers w:val="0"/>
              <w:spacing w:line="240" w:lineRule="auto"/>
              <w:jc w:val="center"/>
              <w:textAlignment w:val="center"/>
              <w:rPr>
                <w:rFonts w:hint="eastAsia" w:ascii="宋体" w:hAnsi="宋体" w:eastAsia="宋体" w:cs="宋体"/>
                <w:i w:val="0"/>
                <w:color w:val="auto"/>
                <w:kern w:val="0"/>
                <w:sz w:val="18"/>
                <w:szCs w:val="18"/>
                <w:u w:val="none"/>
                <w:lang w:val="en-US" w:eastAsia="zh-CN" w:bidi="ar"/>
              </w:rPr>
            </w:pPr>
          </w:p>
          <w:p>
            <w:pPr>
              <w:keepNext w:val="0"/>
              <w:keepLines w:val="0"/>
              <w:widowControl/>
              <w:suppressLineNumbers w:val="0"/>
              <w:spacing w:line="240" w:lineRule="auto"/>
              <w:jc w:val="center"/>
              <w:textAlignment w:val="center"/>
              <w:rPr>
                <w:rFonts w:hint="eastAsia" w:ascii="宋体" w:hAnsi="宋体" w:eastAsia="宋体" w:cs="宋体"/>
                <w:i w:val="0"/>
                <w:color w:val="auto"/>
                <w:kern w:val="0"/>
                <w:sz w:val="18"/>
                <w:szCs w:val="18"/>
                <w:u w:val="none"/>
                <w:lang w:val="en-US" w:eastAsia="zh-CN" w:bidi="ar"/>
              </w:rPr>
            </w:pPr>
          </w:p>
          <w:p>
            <w:pPr>
              <w:keepNext w:val="0"/>
              <w:keepLines w:val="0"/>
              <w:widowControl/>
              <w:suppressLineNumbers w:val="0"/>
              <w:spacing w:line="240" w:lineRule="auto"/>
              <w:jc w:val="center"/>
              <w:textAlignment w:val="center"/>
              <w:rPr>
                <w:rFonts w:hint="eastAsia" w:ascii="宋体" w:hAnsi="宋体" w:eastAsia="宋体" w:cs="宋体"/>
                <w:i w:val="0"/>
                <w:color w:val="auto"/>
                <w:kern w:val="0"/>
                <w:sz w:val="18"/>
                <w:szCs w:val="18"/>
                <w:u w:val="none"/>
                <w:lang w:val="en-US" w:eastAsia="zh-CN" w:bidi="ar"/>
              </w:rPr>
            </w:pPr>
          </w:p>
          <w:p>
            <w:pPr>
              <w:keepNext w:val="0"/>
              <w:keepLines w:val="0"/>
              <w:widowControl/>
              <w:suppressLineNumbers w:val="0"/>
              <w:spacing w:line="240" w:lineRule="auto"/>
              <w:jc w:val="center"/>
              <w:textAlignment w:val="center"/>
              <w:rPr>
                <w:rFonts w:hint="eastAsia" w:ascii="宋体" w:hAnsi="宋体" w:eastAsia="宋体" w:cs="宋体"/>
                <w:i w:val="0"/>
                <w:color w:val="auto"/>
                <w:kern w:val="0"/>
                <w:sz w:val="18"/>
                <w:szCs w:val="18"/>
                <w:u w:val="none"/>
                <w:lang w:val="en-US" w:eastAsia="zh-CN" w:bidi="ar"/>
              </w:rPr>
            </w:pPr>
          </w:p>
          <w:p>
            <w:pPr>
              <w:keepNext w:val="0"/>
              <w:keepLines w:val="0"/>
              <w:widowControl/>
              <w:suppressLineNumbers w:val="0"/>
              <w:spacing w:line="240" w:lineRule="auto"/>
              <w:jc w:val="center"/>
              <w:textAlignment w:val="center"/>
              <w:rPr>
                <w:rFonts w:hint="eastAsia" w:ascii="宋体" w:hAnsi="宋体" w:eastAsia="宋体" w:cs="宋体"/>
                <w:i w:val="0"/>
                <w:color w:val="auto"/>
                <w:kern w:val="0"/>
                <w:sz w:val="18"/>
                <w:szCs w:val="18"/>
                <w:u w:val="none"/>
                <w:lang w:val="en-US" w:eastAsia="zh-CN" w:bidi="ar"/>
              </w:rPr>
            </w:pPr>
          </w:p>
          <w:p>
            <w:pPr>
              <w:keepNext w:val="0"/>
              <w:keepLines w:val="0"/>
              <w:widowControl/>
              <w:suppressLineNumbers w:val="0"/>
              <w:spacing w:line="240" w:lineRule="auto"/>
              <w:jc w:val="center"/>
              <w:textAlignment w:val="center"/>
              <w:rPr>
                <w:rFonts w:hint="eastAsia" w:ascii="宋体" w:hAnsi="宋体" w:eastAsia="宋体" w:cs="宋体"/>
                <w:i w:val="0"/>
                <w:color w:val="auto"/>
                <w:kern w:val="0"/>
                <w:sz w:val="18"/>
                <w:szCs w:val="18"/>
                <w:u w:val="none"/>
                <w:lang w:val="en-US" w:eastAsia="zh-CN" w:bidi="ar"/>
              </w:rPr>
            </w:pPr>
          </w:p>
          <w:p>
            <w:pPr>
              <w:keepNext w:val="0"/>
              <w:keepLines w:val="0"/>
              <w:widowControl/>
              <w:suppressLineNumbers w:val="0"/>
              <w:spacing w:line="240" w:lineRule="auto"/>
              <w:jc w:val="center"/>
              <w:textAlignment w:val="center"/>
              <w:rPr>
                <w:rFonts w:hint="eastAsia" w:ascii="宋体" w:hAnsi="宋体" w:eastAsia="宋体" w:cs="宋体"/>
                <w:i w:val="0"/>
                <w:color w:val="auto"/>
                <w:kern w:val="0"/>
                <w:sz w:val="18"/>
                <w:szCs w:val="18"/>
                <w:u w:val="none"/>
                <w:lang w:val="en-US" w:eastAsia="zh-CN" w:bidi="ar"/>
              </w:rPr>
            </w:pPr>
          </w:p>
          <w:p>
            <w:pPr>
              <w:keepNext w:val="0"/>
              <w:keepLines w:val="0"/>
              <w:widowControl/>
              <w:suppressLineNumbers w:val="0"/>
              <w:spacing w:line="240" w:lineRule="auto"/>
              <w:jc w:val="center"/>
              <w:textAlignment w:val="center"/>
              <w:rPr>
                <w:rFonts w:hint="eastAsia" w:ascii="宋体" w:hAnsi="宋体" w:eastAsia="宋体" w:cs="宋体"/>
                <w:i w:val="0"/>
                <w:color w:val="auto"/>
                <w:kern w:val="0"/>
                <w:sz w:val="18"/>
                <w:szCs w:val="18"/>
                <w:u w:val="none"/>
                <w:lang w:val="en-US" w:eastAsia="zh-CN" w:bidi="ar"/>
              </w:rPr>
            </w:pPr>
          </w:p>
          <w:p>
            <w:pPr>
              <w:keepNext w:val="0"/>
              <w:keepLines w:val="0"/>
              <w:widowControl/>
              <w:suppressLineNumbers w:val="0"/>
              <w:spacing w:line="240" w:lineRule="auto"/>
              <w:jc w:val="center"/>
              <w:textAlignment w:val="center"/>
              <w:rPr>
                <w:rFonts w:hint="eastAsia" w:ascii="宋体" w:hAnsi="宋体" w:eastAsia="宋体" w:cs="宋体"/>
                <w:i w:val="0"/>
                <w:color w:val="auto"/>
                <w:kern w:val="0"/>
                <w:sz w:val="18"/>
                <w:szCs w:val="18"/>
                <w:u w:val="none"/>
                <w:lang w:val="en-US" w:eastAsia="zh-CN" w:bidi="ar"/>
              </w:rPr>
            </w:pPr>
          </w:p>
          <w:p>
            <w:pPr>
              <w:keepNext w:val="0"/>
              <w:keepLines w:val="0"/>
              <w:widowControl/>
              <w:suppressLineNumbers w:val="0"/>
              <w:spacing w:line="240" w:lineRule="auto"/>
              <w:jc w:val="center"/>
              <w:textAlignment w:val="center"/>
              <w:rPr>
                <w:rFonts w:hint="eastAsia" w:ascii="宋体" w:hAnsi="宋体" w:eastAsia="宋体" w:cs="宋体"/>
                <w:i w:val="0"/>
                <w:color w:val="auto"/>
                <w:kern w:val="0"/>
                <w:sz w:val="18"/>
                <w:szCs w:val="18"/>
                <w:u w:val="none"/>
                <w:lang w:val="en-US" w:eastAsia="zh-CN" w:bidi="ar"/>
              </w:rPr>
            </w:pPr>
          </w:p>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必修</w:t>
            </w:r>
          </w:p>
        </w:tc>
      </w:tr>
      <w:tr>
        <w:tblPrEx>
          <w:shd w:val="clear" w:color="auto" w:fill="auto"/>
          <w:tblCellMar>
            <w:top w:w="0" w:type="dxa"/>
            <w:left w:w="0" w:type="dxa"/>
            <w:bottom w:w="0" w:type="dxa"/>
            <w:right w:w="0" w:type="dxa"/>
          </w:tblCellMar>
        </w:tblPrEx>
        <w:trPr>
          <w:trHeight w:val="570"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pStyle w:val="15"/>
              <w:widowControl/>
              <w:spacing w:line="400" w:lineRule="atLeast"/>
              <w:jc w:val="center"/>
              <w:rPr>
                <w:rFonts w:hint="eastAsia" w:ascii="宋体" w:hAnsi="宋体" w:eastAsia="宋体" w:cs="宋体"/>
                <w:i w:val="0"/>
                <w:color w:val="auto"/>
                <w:sz w:val="18"/>
                <w:szCs w:val="18"/>
                <w:u w:val="none"/>
              </w:rPr>
            </w:pPr>
            <w:r>
              <w:rPr>
                <w:rFonts w:hint="eastAsia" w:asciiTheme="minorEastAsia" w:hAnsiTheme="minorEastAsia" w:cstheme="minorEastAsia"/>
                <w:color w:val="auto"/>
                <w:sz w:val="20"/>
                <w:szCs w:val="20"/>
              </w:rPr>
              <w:t>10010201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毛泽东思想和中国特色社会主义理论体系概论</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64</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56</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pStyle w:val="15"/>
              <w:widowControl/>
              <w:spacing w:line="400" w:lineRule="atLeast"/>
              <w:jc w:val="center"/>
              <w:rPr>
                <w:rFonts w:hint="eastAsia" w:ascii="宋体" w:hAnsi="宋体" w:eastAsia="宋体" w:cs="宋体"/>
                <w:i w:val="0"/>
                <w:color w:val="auto"/>
                <w:sz w:val="18"/>
                <w:szCs w:val="18"/>
                <w:u w:val="none"/>
              </w:rPr>
            </w:pPr>
            <w:r>
              <w:rPr>
                <w:rFonts w:hint="eastAsia" w:asciiTheme="minorEastAsia" w:hAnsiTheme="minorEastAsia" w:cstheme="minorEastAsia"/>
                <w:color w:val="auto"/>
                <w:sz w:val="20"/>
                <w:szCs w:val="20"/>
              </w:rPr>
              <w:t>10010301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形势与政策</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40</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40</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pStyle w:val="15"/>
              <w:widowControl/>
              <w:spacing w:line="400" w:lineRule="atLeast"/>
              <w:jc w:val="center"/>
              <w:rPr>
                <w:rFonts w:hint="eastAsia" w:ascii="宋体" w:hAnsi="宋体" w:eastAsia="宋体" w:cs="宋体"/>
                <w:i w:val="0"/>
                <w:color w:val="auto"/>
                <w:sz w:val="18"/>
                <w:szCs w:val="18"/>
                <w:u w:val="none"/>
              </w:rPr>
            </w:pPr>
            <w:r>
              <w:rPr>
                <w:rFonts w:hint="eastAsia" w:asciiTheme="minorEastAsia" w:hAnsiTheme="minorEastAsia" w:cstheme="minorEastAsia"/>
                <w:color w:val="auto"/>
                <w:sz w:val="20"/>
                <w:szCs w:val="20"/>
              </w:rPr>
              <w:t>10010401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军事理论</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pStyle w:val="15"/>
              <w:widowControl/>
              <w:spacing w:line="400" w:lineRule="atLeast"/>
              <w:jc w:val="center"/>
              <w:rPr>
                <w:rFonts w:hint="eastAsia" w:ascii="宋体" w:hAnsi="宋体" w:eastAsia="宋体" w:cs="宋体"/>
                <w:i w:val="0"/>
                <w:color w:val="auto"/>
                <w:sz w:val="18"/>
                <w:szCs w:val="18"/>
                <w:u w:val="none"/>
              </w:rPr>
            </w:pPr>
            <w:r>
              <w:rPr>
                <w:rFonts w:hint="eastAsia" w:asciiTheme="minorEastAsia" w:hAnsiTheme="minorEastAsia" w:cstheme="minorEastAsia"/>
                <w:color w:val="auto"/>
                <w:sz w:val="20"/>
                <w:szCs w:val="20"/>
              </w:rPr>
              <w:t>10010501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体育与健康</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lang w:val="en-US" w:eastAsia="zh-CN"/>
              </w:rPr>
            </w:pPr>
            <w:r>
              <w:rPr>
                <w:rFonts w:hint="eastAsia" w:ascii="宋体" w:hAnsi="宋体" w:eastAsia="宋体" w:cs="宋体"/>
                <w:i w:val="0"/>
                <w:color w:val="auto"/>
                <w:sz w:val="18"/>
                <w:szCs w:val="18"/>
                <w:u w:val="none"/>
                <w:lang w:val="en-US" w:eastAsia="zh-CN"/>
              </w:rPr>
              <w:t>7</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宋体" w:hAnsi="宋体" w:eastAsia="宋体" w:cs="宋体"/>
                <w:i w:val="0"/>
                <w:color w:val="auto"/>
                <w:sz w:val="18"/>
                <w:szCs w:val="18"/>
                <w:u w:val="none"/>
                <w:lang w:val="en-US"/>
              </w:rPr>
            </w:pPr>
            <w:r>
              <w:rPr>
                <w:rFonts w:hint="eastAsia" w:ascii="宋体" w:hAnsi="宋体" w:eastAsia="宋体" w:cs="宋体"/>
                <w:i w:val="0"/>
                <w:color w:val="auto"/>
                <w:kern w:val="0"/>
                <w:sz w:val="18"/>
                <w:szCs w:val="18"/>
                <w:u w:val="none"/>
                <w:lang w:val="en-US" w:eastAsia="zh-CN" w:bidi="ar"/>
              </w:rPr>
              <w:t>112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宋体" w:hAnsi="宋体" w:eastAsia="宋体" w:cs="宋体"/>
                <w:i w:val="0"/>
                <w:color w:val="auto"/>
                <w:sz w:val="18"/>
                <w:szCs w:val="18"/>
                <w:u w:val="none"/>
                <w:lang w:val="en-US"/>
              </w:rPr>
            </w:pPr>
            <w:r>
              <w:rPr>
                <w:rFonts w:hint="eastAsia" w:ascii="宋体" w:hAnsi="宋体" w:eastAsia="宋体" w:cs="宋体"/>
                <w:i w:val="0"/>
                <w:color w:val="auto"/>
                <w:kern w:val="0"/>
                <w:sz w:val="18"/>
                <w:szCs w:val="18"/>
                <w:u w:val="none"/>
                <w:lang w:val="en-US" w:eastAsia="zh-CN" w:bidi="ar"/>
              </w:rPr>
              <w:t>3</w:t>
            </w:r>
            <w:r>
              <w:rPr>
                <w:rFonts w:hint="eastAsia" w:ascii="宋体" w:hAnsi="宋体" w:cs="宋体"/>
                <w:i w:val="0"/>
                <w:color w:val="auto"/>
                <w:kern w:val="0"/>
                <w:sz w:val="18"/>
                <w:szCs w:val="18"/>
                <w:u w:val="none"/>
                <w:lang w:val="en-US" w:eastAsia="zh-CN" w:bidi="ar"/>
              </w:rPr>
              <w:t>6</w:t>
            </w:r>
            <w:bookmarkStart w:id="81" w:name="_GoBack"/>
            <w:bookmarkEnd w:id="81"/>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宋体" w:hAnsi="宋体" w:eastAsia="宋体" w:cs="宋体"/>
                <w:i w:val="0"/>
                <w:color w:val="auto"/>
                <w:sz w:val="18"/>
                <w:szCs w:val="18"/>
                <w:u w:val="none"/>
                <w:lang w:val="en-US" w:eastAsia="zh-CN"/>
              </w:rPr>
            </w:pPr>
            <w:r>
              <w:rPr>
                <w:rFonts w:hint="eastAsia" w:ascii="宋体" w:hAnsi="宋体" w:eastAsia="宋体" w:cs="宋体"/>
                <w:i w:val="0"/>
                <w:color w:val="auto"/>
                <w:sz w:val="18"/>
                <w:szCs w:val="18"/>
                <w:u w:val="none"/>
                <w:lang w:val="en-US" w:eastAsia="zh-CN"/>
              </w:rPr>
              <w:t>76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宋体" w:hAnsi="宋体" w:eastAsia="宋体" w:cs="宋体"/>
                <w:i w:val="0"/>
                <w:color w:val="auto"/>
                <w:sz w:val="18"/>
                <w:szCs w:val="18"/>
                <w:u w:val="none"/>
                <w:lang w:val="en-US" w:eastAsia="zh-CN"/>
              </w:rPr>
            </w:pPr>
            <w:r>
              <w:rPr>
                <w:rFonts w:hint="eastAsia" w:ascii="宋体" w:hAnsi="宋体" w:eastAsia="宋体" w:cs="宋体"/>
                <w:i w:val="0"/>
                <w:color w:val="auto"/>
                <w:sz w:val="18"/>
                <w:szCs w:val="18"/>
                <w:u w:val="none"/>
                <w:lang w:val="en-US" w:eastAsia="zh-CN"/>
              </w:rPr>
              <w:t>16</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pStyle w:val="15"/>
              <w:widowControl/>
              <w:spacing w:line="400" w:lineRule="atLeast"/>
              <w:jc w:val="center"/>
              <w:rPr>
                <w:rFonts w:hint="eastAsia" w:ascii="宋体" w:hAnsi="宋体" w:eastAsia="宋体" w:cs="宋体"/>
                <w:i w:val="0"/>
                <w:color w:val="auto"/>
                <w:sz w:val="18"/>
                <w:szCs w:val="18"/>
                <w:u w:val="none"/>
              </w:rPr>
            </w:pPr>
            <w:r>
              <w:rPr>
                <w:rFonts w:hint="eastAsia" w:asciiTheme="minorEastAsia" w:hAnsiTheme="minorEastAsia" w:cstheme="minorEastAsia"/>
                <w:color w:val="auto"/>
                <w:sz w:val="20"/>
                <w:szCs w:val="20"/>
              </w:rPr>
              <w:t>10010601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大学生心理健康教育</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7</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pStyle w:val="15"/>
              <w:widowControl/>
              <w:spacing w:line="400" w:lineRule="atLeast"/>
              <w:jc w:val="center"/>
              <w:rPr>
                <w:rFonts w:hint="eastAsia" w:ascii="宋体" w:hAnsi="宋体" w:eastAsia="宋体" w:cs="宋体"/>
                <w:i w:val="0"/>
                <w:color w:val="auto"/>
                <w:sz w:val="18"/>
                <w:szCs w:val="18"/>
                <w:u w:val="none"/>
              </w:rPr>
            </w:pPr>
            <w:r>
              <w:rPr>
                <w:rFonts w:hint="eastAsia" w:asciiTheme="minorEastAsia" w:hAnsiTheme="minorEastAsia" w:cstheme="minorEastAsia"/>
                <w:color w:val="auto"/>
                <w:sz w:val="20"/>
                <w:szCs w:val="20"/>
              </w:rPr>
              <w:t>10010701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大学生职业发展与创新创业教育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pStyle w:val="15"/>
              <w:widowControl/>
              <w:spacing w:line="400" w:lineRule="atLeast"/>
              <w:jc w:val="center"/>
              <w:rPr>
                <w:rFonts w:hint="eastAsia" w:ascii="宋体" w:hAnsi="宋体" w:eastAsia="宋体" w:cs="宋体"/>
                <w:i w:val="0"/>
                <w:color w:val="auto"/>
                <w:sz w:val="18"/>
                <w:szCs w:val="18"/>
                <w:u w:val="none"/>
              </w:rPr>
            </w:pPr>
            <w:r>
              <w:rPr>
                <w:rFonts w:hint="eastAsia" w:asciiTheme="minorEastAsia" w:hAnsiTheme="minorEastAsia" w:cstheme="minorEastAsia"/>
                <w:color w:val="auto"/>
                <w:sz w:val="20"/>
                <w:szCs w:val="20"/>
              </w:rPr>
              <w:t>10010801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禁毒与预防艾滋病专题</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pStyle w:val="15"/>
              <w:widowControl/>
              <w:spacing w:line="400" w:lineRule="atLeast"/>
              <w:jc w:val="center"/>
              <w:rPr>
                <w:rFonts w:hint="eastAsia" w:ascii="宋体" w:hAnsi="宋体" w:eastAsia="宋体" w:cs="宋体"/>
                <w:i w:val="0"/>
                <w:color w:val="auto"/>
                <w:sz w:val="18"/>
                <w:szCs w:val="18"/>
                <w:u w:val="none"/>
              </w:rPr>
            </w:pPr>
            <w:r>
              <w:rPr>
                <w:rFonts w:hint="eastAsia" w:asciiTheme="minorEastAsia" w:hAnsiTheme="minorEastAsia" w:cstheme="minorEastAsia"/>
                <w:color w:val="auto"/>
                <w:sz w:val="20"/>
                <w:szCs w:val="20"/>
              </w:rPr>
              <w:t>10010901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大学英语</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64</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48</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pStyle w:val="15"/>
              <w:widowControl/>
              <w:spacing w:line="400" w:lineRule="atLeast"/>
              <w:jc w:val="center"/>
              <w:rPr>
                <w:rFonts w:hint="eastAsia" w:ascii="宋体" w:hAnsi="宋体" w:eastAsia="宋体" w:cs="宋体"/>
                <w:i w:val="0"/>
                <w:color w:val="auto"/>
                <w:sz w:val="18"/>
                <w:szCs w:val="18"/>
                <w:u w:val="none"/>
              </w:rPr>
            </w:pPr>
            <w:r>
              <w:rPr>
                <w:rFonts w:hint="eastAsia" w:asciiTheme="minorEastAsia" w:hAnsiTheme="minorEastAsia" w:cstheme="minorEastAsia"/>
                <w:color w:val="auto"/>
                <w:sz w:val="20"/>
                <w:szCs w:val="20"/>
              </w:rPr>
              <w:t>10011001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大学语文</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宋体" w:hAnsi="宋体" w:eastAsia="宋体" w:cs="宋体"/>
                <w:i w:val="0"/>
                <w:color w:val="auto"/>
                <w:sz w:val="18"/>
                <w:szCs w:val="18"/>
                <w:u w:val="none"/>
                <w:lang w:val="en-US"/>
              </w:rPr>
            </w:pPr>
            <w:r>
              <w:rPr>
                <w:rFonts w:hint="eastAsia" w:ascii="宋体" w:hAnsi="宋体" w:eastAsia="宋体" w:cs="宋体"/>
                <w:i w:val="0"/>
                <w:color w:val="auto"/>
                <w:kern w:val="0"/>
                <w:sz w:val="18"/>
                <w:szCs w:val="18"/>
                <w:u w:val="none"/>
                <w:lang w:val="en-US" w:eastAsia="zh-CN" w:bidi="ar"/>
              </w:rPr>
              <w:t>64</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宋体" w:hAnsi="宋体" w:eastAsia="宋体" w:cs="宋体"/>
                <w:i w:val="0"/>
                <w:color w:val="auto"/>
                <w:sz w:val="18"/>
                <w:szCs w:val="18"/>
                <w:u w:val="none"/>
                <w:lang w:val="en-US"/>
              </w:rPr>
            </w:pPr>
            <w:r>
              <w:rPr>
                <w:rFonts w:hint="eastAsia" w:ascii="宋体" w:hAnsi="宋体" w:eastAsia="宋体" w:cs="宋体"/>
                <w:i w:val="0"/>
                <w:color w:val="auto"/>
                <w:kern w:val="0"/>
                <w:sz w:val="18"/>
                <w:szCs w:val="18"/>
                <w:u w:val="none"/>
                <w:lang w:val="en-US" w:eastAsia="zh-CN" w:bidi="ar"/>
              </w:rPr>
              <w:t>5</w:t>
            </w:r>
            <w:r>
              <w:rPr>
                <w:rFonts w:hint="eastAsia" w:ascii="宋体" w:hAnsi="宋体" w:cs="宋体"/>
                <w:i w:val="0"/>
                <w:color w:val="auto"/>
                <w:kern w:val="0"/>
                <w:sz w:val="18"/>
                <w:szCs w:val="18"/>
                <w:u w:val="none"/>
                <w:lang w:val="en-US" w:eastAsia="zh-CN" w:bidi="ar"/>
              </w:rPr>
              <w:t>6</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8</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11</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pStyle w:val="15"/>
              <w:widowControl/>
              <w:spacing w:line="400" w:lineRule="atLeast"/>
              <w:jc w:val="center"/>
              <w:rPr>
                <w:rFonts w:hint="eastAsia" w:ascii="宋体" w:hAnsi="宋体" w:eastAsia="宋体" w:cs="宋体"/>
                <w:i w:val="0"/>
                <w:color w:val="auto"/>
                <w:sz w:val="18"/>
                <w:szCs w:val="18"/>
                <w:u w:val="none"/>
              </w:rPr>
            </w:pPr>
            <w:r>
              <w:rPr>
                <w:rFonts w:hint="eastAsia" w:asciiTheme="minorEastAsia" w:hAnsiTheme="minorEastAsia" w:cstheme="minorEastAsia"/>
                <w:color w:val="auto"/>
                <w:sz w:val="20"/>
                <w:szCs w:val="20"/>
              </w:rPr>
              <w:t>10011101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计算机应用基础</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64</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24</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40</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pStyle w:val="15"/>
              <w:widowControl/>
              <w:spacing w:line="400" w:lineRule="atLeast"/>
              <w:jc w:val="center"/>
              <w:rPr>
                <w:rFonts w:hint="eastAsia" w:ascii="宋体" w:hAnsi="宋体" w:eastAsia="宋体" w:cs="宋体"/>
                <w:i w:val="0"/>
                <w:color w:val="auto"/>
                <w:sz w:val="18"/>
                <w:szCs w:val="18"/>
                <w:u w:val="none"/>
              </w:rPr>
            </w:pPr>
            <w:r>
              <w:rPr>
                <w:rFonts w:hint="eastAsia" w:asciiTheme="minorEastAsia" w:hAnsiTheme="minorEastAsia" w:cstheme="minorEastAsia"/>
                <w:color w:val="auto"/>
                <w:sz w:val="20"/>
                <w:szCs w:val="20"/>
              </w:rPr>
              <w:t>10011201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民族教育专题</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13</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pStyle w:val="15"/>
              <w:widowControl/>
              <w:spacing w:line="400" w:lineRule="atLeast"/>
              <w:jc w:val="center"/>
              <w:rPr>
                <w:rFonts w:hint="eastAsia" w:ascii="宋体" w:hAnsi="宋体" w:eastAsia="宋体" w:cs="宋体"/>
                <w:i w:val="0"/>
                <w:color w:val="auto"/>
                <w:sz w:val="18"/>
                <w:szCs w:val="18"/>
                <w:u w:val="none"/>
              </w:rPr>
            </w:pPr>
            <w:r>
              <w:rPr>
                <w:rFonts w:hint="eastAsia" w:asciiTheme="minorEastAsia" w:hAnsiTheme="minorEastAsia" w:cstheme="minorEastAsia"/>
                <w:color w:val="auto"/>
                <w:sz w:val="20"/>
                <w:szCs w:val="20"/>
              </w:rPr>
              <w:t>10011301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中华传统文化</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14</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pStyle w:val="15"/>
              <w:widowControl/>
              <w:spacing w:line="400" w:lineRule="atLeast"/>
              <w:jc w:val="center"/>
              <w:rPr>
                <w:rFonts w:hint="eastAsia" w:ascii="宋体" w:hAnsi="宋体" w:eastAsia="宋体" w:cs="宋体"/>
                <w:i w:val="0"/>
                <w:color w:val="auto"/>
                <w:sz w:val="18"/>
                <w:szCs w:val="18"/>
                <w:u w:val="none"/>
              </w:rPr>
            </w:pPr>
            <w:r>
              <w:rPr>
                <w:rFonts w:hint="eastAsia" w:asciiTheme="minorEastAsia" w:hAnsiTheme="minorEastAsia" w:cstheme="minorEastAsia"/>
                <w:color w:val="auto"/>
                <w:sz w:val="20"/>
                <w:szCs w:val="20"/>
              </w:rPr>
              <w:t>10011401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国家安全教育</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15</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pStyle w:val="15"/>
              <w:widowControl/>
              <w:spacing w:line="400" w:lineRule="atLeast"/>
              <w:jc w:val="center"/>
              <w:rPr>
                <w:rFonts w:hint="eastAsia" w:ascii="宋体" w:hAnsi="宋体" w:eastAsia="宋体" w:cs="宋体"/>
                <w:i w:val="0"/>
                <w:color w:val="auto"/>
                <w:sz w:val="18"/>
                <w:szCs w:val="18"/>
                <w:u w:val="none"/>
              </w:rPr>
            </w:pPr>
            <w:r>
              <w:rPr>
                <w:rFonts w:hint="eastAsia" w:asciiTheme="minorEastAsia" w:hAnsiTheme="minorEastAsia" w:cstheme="minorEastAsia"/>
                <w:color w:val="auto"/>
                <w:sz w:val="20"/>
                <w:szCs w:val="20"/>
                <w:lang w:val="en-US" w:eastAsia="zh-CN"/>
              </w:rPr>
              <w:t>10011501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劳动专题教育</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pStyle w:val="15"/>
              <w:widowControl/>
              <w:spacing w:line="400" w:lineRule="atLeast"/>
              <w:jc w:val="center"/>
              <w:rPr>
                <w:rFonts w:hint="eastAsia" w:ascii="宋体" w:hAnsi="宋体" w:eastAsia="宋体" w:cs="宋体"/>
                <w:i w:val="0"/>
                <w:color w:val="auto"/>
                <w:sz w:val="18"/>
                <w:szCs w:val="18"/>
                <w:u w:val="none"/>
              </w:rPr>
            </w:pPr>
            <w:r>
              <w:rPr>
                <w:rFonts w:hint="eastAsia" w:asciiTheme="minorEastAsia" w:hAnsiTheme="minorEastAsia" w:cstheme="minorEastAsia"/>
                <w:color w:val="auto"/>
                <w:sz w:val="20"/>
                <w:szCs w:val="20"/>
                <w:lang w:val="en-US" w:eastAsia="zh-CN"/>
              </w:rPr>
              <w:t>10011601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军事技能</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112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112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default" w:ascii="宋体" w:hAnsi="宋体" w:eastAsia="宋体" w:cs="宋体"/>
                <w:i w:val="0"/>
                <w:color w:val="auto"/>
                <w:sz w:val="18"/>
                <w:szCs w:val="18"/>
                <w:u w:val="none"/>
                <w:lang w:val="en-US" w:eastAsia="zh-CN"/>
              </w:rPr>
            </w:pPr>
            <w:r>
              <w:rPr>
                <w:rFonts w:hint="eastAsia" w:ascii="宋体" w:hAnsi="宋体" w:cs="宋体"/>
                <w:i w:val="0"/>
                <w:color w:val="auto"/>
                <w:sz w:val="18"/>
                <w:szCs w:val="18"/>
                <w:u w:val="none"/>
                <w:lang w:val="en-US" w:eastAsia="zh-CN"/>
              </w:rPr>
              <w:t>112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17</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pStyle w:val="15"/>
              <w:widowControl/>
              <w:spacing w:line="400" w:lineRule="atLeast"/>
              <w:jc w:val="center"/>
              <w:rPr>
                <w:rFonts w:hint="eastAsia" w:ascii="宋体" w:hAnsi="宋体" w:eastAsia="宋体" w:cs="宋体"/>
                <w:i w:val="0"/>
                <w:color w:val="auto"/>
                <w:sz w:val="18"/>
                <w:szCs w:val="18"/>
                <w:u w:val="none"/>
              </w:rPr>
            </w:pPr>
            <w:r>
              <w:rPr>
                <w:rFonts w:hint="eastAsia" w:asciiTheme="minorEastAsia" w:hAnsiTheme="minorEastAsia" w:cstheme="minorEastAsia"/>
                <w:color w:val="auto"/>
                <w:sz w:val="20"/>
                <w:szCs w:val="20"/>
                <w:lang w:val="en-US" w:eastAsia="zh-CN"/>
              </w:rPr>
              <w:t>10011701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入学教育</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47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小计</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624</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406</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218</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296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216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48</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44</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12</w:t>
            </w: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8</w:t>
            </w: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专业</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基础课</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18</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21110105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普通话</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64</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19</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21110205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管理学基础</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21110305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老年人体生理学</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42</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21110405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老年服务与管理概论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21110505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老年沟通与服务礼仪</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23</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21110605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老年健康评估</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47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小计</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14</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224</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186</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102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128</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64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0</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0</w:t>
            </w: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专业</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核心课</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24</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21110705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老年健康照护</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64</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64</w:t>
            </w:r>
          </w:p>
        </w:tc>
        <w:tc>
          <w:tcPr>
            <w:tcW w:w="0" w:type="auto"/>
            <w:tcBorders>
              <w:top w:val="nil"/>
              <w:left w:val="nil"/>
              <w:bottom w:val="nil"/>
              <w:right w:val="nil"/>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25</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21110805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老年康复与保健</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64</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48</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26</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21110905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营养与饮食保健</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64</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48</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27</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21111005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老年心理护理</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64</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42</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28</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21111105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养老机构经营与管理</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64</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29</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21111205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老年人常见疾病预防</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64</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21111305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老年活动策划</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64</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48</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31</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21111405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老年服务政策法规</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11</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47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480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303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256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专业</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拓展课</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21111505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中医护理与保健</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33</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21111605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老年社会工作实务</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34</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21111705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老年产品市场开发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35</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21111805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社区护理</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0" w:type="auto"/>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36</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21111905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老年经济学</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37</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21112005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国内外机构养老发展状况</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47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小计</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192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118</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74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0</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0</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128</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0</w:t>
            </w: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rPr>
                <w:rFonts w:hint="eastAsia" w:ascii="宋体" w:hAnsi="宋体" w:eastAsia="宋体" w:cs="宋体"/>
                <w:b/>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592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合计</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1520</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1013</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571</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456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504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304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204</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44</w:t>
            </w: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rPr>
                <w:rFonts w:hint="eastAsia" w:ascii="宋体" w:hAnsi="宋体" w:eastAsia="宋体" w:cs="宋体"/>
                <w:b/>
                <w:i w:val="0"/>
                <w:color w:val="auto"/>
                <w:sz w:val="18"/>
                <w:szCs w:val="18"/>
                <w:u w:val="none"/>
              </w:rPr>
            </w:pPr>
          </w:p>
        </w:tc>
      </w:tr>
    </w:tbl>
    <w:p>
      <w:pPr>
        <w:pStyle w:val="7"/>
        <w:bidi w:val="0"/>
        <w:spacing w:line="240" w:lineRule="auto"/>
        <w:rPr>
          <w:color w:val="auto"/>
        </w:rPr>
      </w:pPr>
      <w:bookmarkStart w:id="42" w:name="_Toc2403"/>
      <w:r>
        <w:rPr>
          <w:rFonts w:hint="eastAsia"/>
          <w:color w:val="auto"/>
        </w:rPr>
        <w:t>表</w:t>
      </w:r>
      <w:r>
        <w:rPr>
          <w:rFonts w:hint="eastAsia"/>
          <w:color w:val="auto"/>
          <w:lang w:val="en-US" w:eastAsia="zh-CN"/>
        </w:rPr>
        <w:t>8</w:t>
      </w:r>
      <w:r>
        <w:rPr>
          <w:rFonts w:hint="eastAsia"/>
          <w:color w:val="auto"/>
        </w:rPr>
        <w:t xml:space="preserve"> 选修课教学进程安排表</w:t>
      </w:r>
      <w:bookmarkEnd w:id="42"/>
    </w:p>
    <w:tbl>
      <w:tblPr>
        <w:tblStyle w:val="16"/>
        <w:tblW w:w="15165" w:type="dxa"/>
        <w:jc w:val="center"/>
        <w:shd w:val="clear" w:color="auto" w:fill="auto"/>
        <w:tblLayout w:type="autofit"/>
        <w:tblCellMar>
          <w:top w:w="0" w:type="dxa"/>
          <w:left w:w="0" w:type="dxa"/>
          <w:bottom w:w="0" w:type="dxa"/>
          <w:right w:w="0" w:type="dxa"/>
        </w:tblCellMar>
      </w:tblPr>
      <w:tblGrid>
        <w:gridCol w:w="1164"/>
        <w:gridCol w:w="555"/>
        <w:gridCol w:w="1178"/>
        <w:gridCol w:w="3020"/>
        <w:gridCol w:w="1014"/>
        <w:gridCol w:w="645"/>
        <w:gridCol w:w="1233"/>
        <w:gridCol w:w="1175"/>
        <w:gridCol w:w="525"/>
        <w:gridCol w:w="525"/>
        <w:gridCol w:w="525"/>
        <w:gridCol w:w="525"/>
        <w:gridCol w:w="519"/>
        <w:gridCol w:w="496"/>
        <w:gridCol w:w="1178"/>
        <w:gridCol w:w="888"/>
      </w:tblGrid>
      <w:tr>
        <w:tblPrEx>
          <w:shd w:val="clear" w:color="auto" w:fill="auto"/>
          <w:tblCellMar>
            <w:top w:w="0" w:type="dxa"/>
            <w:left w:w="0" w:type="dxa"/>
            <w:bottom w:w="0" w:type="dxa"/>
            <w:right w:w="0" w:type="dxa"/>
          </w:tblCellMar>
        </w:tblPrEx>
        <w:trPr>
          <w:trHeight w:val="285" w:hRule="atLeast"/>
          <w:jc w:val="center"/>
        </w:trPr>
        <w:tc>
          <w:tcPr>
            <w:tcW w:w="1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课程模块</w:t>
            </w: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序号</w:t>
            </w:r>
          </w:p>
        </w:tc>
        <w:tc>
          <w:tcPr>
            <w:tcW w:w="117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课程编码</w:t>
            </w:r>
          </w:p>
        </w:tc>
        <w:tc>
          <w:tcPr>
            <w:tcW w:w="302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课程名称</w:t>
            </w:r>
          </w:p>
        </w:tc>
        <w:tc>
          <w:tcPr>
            <w:tcW w:w="10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学分</w:t>
            </w:r>
          </w:p>
        </w:tc>
        <w:tc>
          <w:tcPr>
            <w:tcW w:w="30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学时</w:t>
            </w:r>
          </w:p>
        </w:tc>
        <w:tc>
          <w:tcPr>
            <w:tcW w:w="311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开设学期、学时数</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考核</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方式</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备注</w:t>
            </w:r>
          </w:p>
        </w:tc>
      </w:tr>
      <w:tr>
        <w:tblPrEx>
          <w:shd w:val="clear" w:color="auto" w:fill="auto"/>
          <w:tblCellMar>
            <w:top w:w="0" w:type="dxa"/>
            <w:left w:w="0" w:type="dxa"/>
            <w:bottom w:w="0" w:type="dxa"/>
            <w:right w:w="0" w:type="dxa"/>
          </w:tblCellMar>
        </w:tblPrEx>
        <w:trPr>
          <w:trHeight w:val="270"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30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10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总学时</w:t>
            </w:r>
          </w:p>
        </w:tc>
        <w:tc>
          <w:tcPr>
            <w:tcW w:w="123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理论</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学时</w:t>
            </w:r>
          </w:p>
        </w:tc>
        <w:tc>
          <w:tcPr>
            <w:tcW w:w="1176"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实践</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学时</w:t>
            </w:r>
          </w:p>
        </w:tc>
        <w:tc>
          <w:tcPr>
            <w:tcW w:w="5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w:t>
            </w:r>
          </w:p>
        </w:tc>
        <w:tc>
          <w:tcPr>
            <w:tcW w:w="5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2</w:t>
            </w:r>
          </w:p>
        </w:tc>
        <w:tc>
          <w:tcPr>
            <w:tcW w:w="5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3</w:t>
            </w:r>
          </w:p>
        </w:tc>
        <w:tc>
          <w:tcPr>
            <w:tcW w:w="5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4</w:t>
            </w:r>
          </w:p>
        </w:tc>
        <w:tc>
          <w:tcPr>
            <w:tcW w:w="51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5</w:t>
            </w:r>
          </w:p>
        </w:tc>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6</w:t>
            </w: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r>
      <w:tr>
        <w:tblPrEx>
          <w:shd w:val="clear" w:color="auto" w:fill="auto"/>
          <w:tblCellMar>
            <w:top w:w="0" w:type="dxa"/>
            <w:left w:w="0" w:type="dxa"/>
            <w:bottom w:w="0" w:type="dxa"/>
            <w:right w:w="0" w:type="dxa"/>
          </w:tblCellMar>
        </w:tblPrEx>
        <w:trPr>
          <w:trHeight w:val="270"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30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10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123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117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专业</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选修课</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21120105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凉山旅游文化</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顶岗实习</w:t>
            </w: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888"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专业选修课至少选四门，8学分</w:t>
            </w: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21120205</w:t>
            </w:r>
          </w:p>
        </w:tc>
        <w:tc>
          <w:tcPr>
            <w:tcW w:w="0" w:type="auto"/>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茶艺</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24</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8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21120305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书法与鉴赏</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8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21120405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音乐律动与鉴赏</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49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8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21120505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饮食文化概论</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49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8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21120605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老年福利事业概论</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49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8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7</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21120705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老年手工</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49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8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340" w:hRule="atLeast"/>
          <w:jc w:val="center"/>
        </w:trPr>
        <w:tc>
          <w:tcPr>
            <w:tcW w:w="1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思政素</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养课程</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10020101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党史</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888"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公共选修课每个模块选一门课程，至少7个学分</w:t>
            </w:r>
          </w:p>
        </w:tc>
      </w:tr>
      <w:tr>
        <w:tblPrEx>
          <w:shd w:val="clear" w:color="auto" w:fill="auto"/>
          <w:tblCellMar>
            <w:top w:w="0" w:type="dxa"/>
            <w:left w:w="0" w:type="dxa"/>
            <w:bottom w:w="0" w:type="dxa"/>
            <w:right w:w="0" w:type="dxa"/>
          </w:tblCellMar>
        </w:tblPrEx>
        <w:trPr>
          <w:trHeight w:val="340"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10020201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新中国史</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8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340"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10020301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改革开放史</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8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10020401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社会主义发展史</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考试</w:t>
            </w:r>
          </w:p>
        </w:tc>
        <w:tc>
          <w:tcPr>
            <w:tcW w:w="8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380" w:hRule="atLeast"/>
          <w:jc w:val="center"/>
        </w:trPr>
        <w:tc>
          <w:tcPr>
            <w:tcW w:w="1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科技素</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养课程</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10020501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生命科技专题</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8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10020601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现代前沿科技讲座</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8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社会素</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养课程</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7</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10020701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民法典解读</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8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10020801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金融常识</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8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艺术素</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养课程</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10020901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民族音乐与舞蹈鉴赏</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8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10021001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民族民间技艺传承</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49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8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职业素</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养课程</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11</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10021101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演讲与口才</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8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10021201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女性健康</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8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13</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10021301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校园安全专题</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考查</w:t>
            </w:r>
          </w:p>
        </w:tc>
        <w:tc>
          <w:tcPr>
            <w:tcW w:w="888"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592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小结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208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rPr>
                <w:rFonts w:hint="eastAsia" w:ascii="宋体" w:hAnsi="宋体" w:eastAsia="宋体" w:cs="宋体"/>
                <w:i w:val="0"/>
                <w:color w:val="auto"/>
                <w:sz w:val="18"/>
                <w:szCs w:val="18"/>
                <w:u w:val="none"/>
              </w:rPr>
            </w:pPr>
          </w:p>
        </w:tc>
      </w:tr>
    </w:tbl>
    <w:p>
      <w:pPr>
        <w:spacing w:line="240" w:lineRule="auto"/>
        <w:rPr>
          <w:color w:val="auto"/>
        </w:rPr>
      </w:pPr>
    </w:p>
    <w:p>
      <w:pPr>
        <w:pStyle w:val="2"/>
        <w:spacing w:line="240" w:lineRule="auto"/>
        <w:ind w:left="420" w:leftChars="200" w:firstLine="0" w:firstLineChars="0"/>
        <w:jc w:val="center"/>
        <w:rPr>
          <w:rFonts w:hint="eastAsia" w:ascii="黑体" w:hAnsi="黑体" w:eastAsia="黑体" w:cs="黑体"/>
          <w:color w:val="auto"/>
          <w:szCs w:val="24"/>
        </w:rPr>
      </w:pPr>
    </w:p>
    <w:p>
      <w:pPr>
        <w:pStyle w:val="7"/>
        <w:bidi w:val="0"/>
        <w:spacing w:line="240" w:lineRule="auto"/>
        <w:rPr>
          <w:rFonts w:hint="eastAsia"/>
          <w:color w:val="auto"/>
        </w:rPr>
      </w:pPr>
      <w:bookmarkStart w:id="43" w:name="_Toc11720"/>
    </w:p>
    <w:p>
      <w:pPr>
        <w:pStyle w:val="7"/>
        <w:bidi w:val="0"/>
        <w:spacing w:line="240" w:lineRule="auto"/>
        <w:rPr>
          <w:rFonts w:hint="eastAsia"/>
          <w:color w:val="auto"/>
        </w:rPr>
      </w:pPr>
    </w:p>
    <w:p>
      <w:pPr>
        <w:pStyle w:val="7"/>
        <w:bidi w:val="0"/>
        <w:spacing w:line="240" w:lineRule="auto"/>
        <w:rPr>
          <w:rFonts w:hint="eastAsia"/>
          <w:color w:val="auto"/>
        </w:rPr>
      </w:pPr>
    </w:p>
    <w:p>
      <w:pPr>
        <w:pStyle w:val="7"/>
        <w:bidi w:val="0"/>
        <w:spacing w:line="240" w:lineRule="auto"/>
        <w:rPr>
          <w:rFonts w:hint="eastAsia"/>
          <w:color w:val="auto"/>
        </w:rPr>
      </w:pPr>
      <w:r>
        <w:rPr>
          <w:rFonts w:hint="eastAsia"/>
          <w:color w:val="auto"/>
        </w:rPr>
        <w:t>表</w:t>
      </w:r>
      <w:r>
        <w:rPr>
          <w:rFonts w:hint="eastAsia"/>
          <w:color w:val="auto"/>
          <w:lang w:val="en-US" w:eastAsia="zh-CN"/>
        </w:rPr>
        <w:t>9</w:t>
      </w:r>
      <w:r>
        <w:rPr>
          <w:rFonts w:hint="eastAsia"/>
          <w:color w:val="auto"/>
        </w:rPr>
        <w:t xml:space="preserve"> 实践教学进程安排表</w:t>
      </w:r>
      <w:bookmarkEnd w:id="43"/>
    </w:p>
    <w:tbl>
      <w:tblPr>
        <w:tblStyle w:val="16"/>
        <w:tblW w:w="15165" w:type="dxa"/>
        <w:tblInd w:w="0" w:type="dxa"/>
        <w:shd w:val="clear" w:color="auto" w:fill="auto"/>
        <w:tblLayout w:type="autofit"/>
        <w:tblCellMar>
          <w:top w:w="0" w:type="dxa"/>
          <w:left w:w="0" w:type="dxa"/>
          <w:bottom w:w="0" w:type="dxa"/>
          <w:right w:w="0" w:type="dxa"/>
        </w:tblCellMar>
      </w:tblPr>
      <w:tblGrid>
        <w:gridCol w:w="1165"/>
        <w:gridCol w:w="555"/>
        <w:gridCol w:w="1178"/>
        <w:gridCol w:w="3022"/>
        <w:gridCol w:w="1015"/>
        <w:gridCol w:w="645"/>
        <w:gridCol w:w="1234"/>
        <w:gridCol w:w="1176"/>
        <w:gridCol w:w="525"/>
        <w:gridCol w:w="525"/>
        <w:gridCol w:w="525"/>
        <w:gridCol w:w="525"/>
        <w:gridCol w:w="519"/>
        <w:gridCol w:w="496"/>
        <w:gridCol w:w="1179"/>
        <w:gridCol w:w="888"/>
      </w:tblGrid>
      <w:tr>
        <w:tblPrEx>
          <w:shd w:val="clear" w:color="auto" w:fill="auto"/>
          <w:tblCellMar>
            <w:top w:w="0" w:type="dxa"/>
            <w:left w:w="0" w:type="dxa"/>
            <w:bottom w:w="0" w:type="dxa"/>
            <w:right w:w="0" w:type="dxa"/>
          </w:tblCellMar>
        </w:tblPrEx>
        <w:trPr>
          <w:trHeight w:val="285" w:hRule="atLeast"/>
        </w:trPr>
        <w:tc>
          <w:tcPr>
            <w:tcW w:w="15172" w:type="dxa"/>
            <w:gridSpan w:val="1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实践教学进程安排表</w:t>
            </w:r>
          </w:p>
        </w:tc>
      </w:tr>
      <w:tr>
        <w:tblPrEx>
          <w:shd w:val="clear" w:color="auto" w:fill="auto"/>
          <w:tblCellMar>
            <w:top w:w="0" w:type="dxa"/>
            <w:left w:w="0" w:type="dxa"/>
            <w:bottom w:w="0" w:type="dxa"/>
            <w:right w:w="0" w:type="dxa"/>
          </w:tblCellMar>
        </w:tblPrEx>
        <w:trPr>
          <w:trHeight w:val="285" w:hRule="atLeast"/>
        </w:trPr>
        <w:tc>
          <w:tcPr>
            <w:tcW w:w="1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课程类别</w:t>
            </w: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序号</w:t>
            </w:r>
          </w:p>
        </w:tc>
        <w:tc>
          <w:tcPr>
            <w:tcW w:w="117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课程编码</w:t>
            </w:r>
          </w:p>
        </w:tc>
        <w:tc>
          <w:tcPr>
            <w:tcW w:w="302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课程名称</w:t>
            </w:r>
          </w:p>
        </w:tc>
        <w:tc>
          <w:tcPr>
            <w:tcW w:w="10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学分</w:t>
            </w:r>
          </w:p>
        </w:tc>
        <w:tc>
          <w:tcPr>
            <w:tcW w:w="30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学时</w:t>
            </w:r>
          </w:p>
        </w:tc>
        <w:tc>
          <w:tcPr>
            <w:tcW w:w="311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开设学期、学时数</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实训地点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备注</w:t>
            </w:r>
          </w:p>
        </w:tc>
      </w:tr>
      <w:tr>
        <w:tblPrEx>
          <w:shd w:val="clear" w:color="auto" w:fill="auto"/>
          <w:tblCellMar>
            <w:top w:w="0" w:type="dxa"/>
            <w:left w:w="0" w:type="dxa"/>
            <w:bottom w:w="0" w:type="dxa"/>
            <w:right w:w="0" w:type="dxa"/>
          </w:tblCellMar>
        </w:tblPrEx>
        <w:trPr>
          <w:trHeight w:val="270" w:hRule="atLeast"/>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30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10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总计</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理论学时</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实践学时</w:t>
            </w:r>
          </w:p>
        </w:tc>
        <w:tc>
          <w:tcPr>
            <w:tcW w:w="5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w:t>
            </w:r>
          </w:p>
        </w:tc>
        <w:tc>
          <w:tcPr>
            <w:tcW w:w="5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2</w:t>
            </w:r>
          </w:p>
        </w:tc>
        <w:tc>
          <w:tcPr>
            <w:tcW w:w="5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3</w:t>
            </w:r>
          </w:p>
        </w:tc>
        <w:tc>
          <w:tcPr>
            <w:tcW w:w="5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4</w:t>
            </w:r>
          </w:p>
        </w:tc>
        <w:tc>
          <w:tcPr>
            <w:tcW w:w="51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5</w:t>
            </w:r>
          </w:p>
        </w:tc>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6</w:t>
            </w: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30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10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公共</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实践课</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31110301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认识实习</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24</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校外</w:t>
            </w:r>
          </w:p>
        </w:tc>
        <w:tc>
          <w:tcPr>
            <w:tcW w:w="0" w:type="auto"/>
            <w:vMerge w:val="restar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31110401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跟岗实习</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72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40</w:t>
            </w: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校外</w:t>
            </w:r>
          </w:p>
        </w:tc>
        <w:tc>
          <w:tcPr>
            <w:tcW w:w="0" w:type="auto"/>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31110501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顶岗实习</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384</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384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384</w:t>
            </w: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校外</w:t>
            </w:r>
          </w:p>
        </w:tc>
        <w:tc>
          <w:tcPr>
            <w:tcW w:w="0" w:type="auto"/>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31110601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毕业设计</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48</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48</w:t>
            </w: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校内</w:t>
            </w:r>
          </w:p>
        </w:tc>
        <w:tc>
          <w:tcPr>
            <w:tcW w:w="0" w:type="auto"/>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31110801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安全教育</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24</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14</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校内</w:t>
            </w:r>
          </w:p>
        </w:tc>
        <w:tc>
          <w:tcPr>
            <w:tcW w:w="0" w:type="auto"/>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31110901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毕业教育</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24</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24</w:t>
            </w: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校内</w:t>
            </w:r>
          </w:p>
        </w:tc>
        <w:tc>
          <w:tcPr>
            <w:tcW w:w="0" w:type="auto"/>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7</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31111001</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社团活动</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24</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校内</w:t>
            </w:r>
          </w:p>
        </w:tc>
        <w:tc>
          <w:tcPr>
            <w:tcW w:w="0" w:type="auto"/>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tblCellMar>
            <w:top w:w="0" w:type="dxa"/>
            <w:left w:w="0" w:type="dxa"/>
            <w:bottom w:w="0" w:type="dxa"/>
            <w:right w:w="0" w:type="dxa"/>
          </w:tblCellMar>
        </w:tblPrEx>
        <w:trPr>
          <w:trHeight w:val="285" w:hRule="atLeast"/>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47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小计</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25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600</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14</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586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36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28</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28</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40</w:t>
            </w: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456</w:t>
            </w: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0" w:type="auto"/>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专业</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实践课</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31110105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老年护理实训</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校内</w:t>
            </w:r>
          </w:p>
        </w:tc>
        <w:tc>
          <w:tcPr>
            <w:tcW w:w="0" w:type="auto"/>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31110205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老年康复实训</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校内</w:t>
            </w:r>
          </w:p>
        </w:tc>
        <w:tc>
          <w:tcPr>
            <w:tcW w:w="0" w:type="auto"/>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31110305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老年服务礼仪实训</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校内</w:t>
            </w:r>
          </w:p>
        </w:tc>
        <w:tc>
          <w:tcPr>
            <w:tcW w:w="0" w:type="auto"/>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11</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31110405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老年活动策划实训</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校内</w:t>
            </w:r>
          </w:p>
        </w:tc>
        <w:tc>
          <w:tcPr>
            <w:tcW w:w="0" w:type="auto"/>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rPr>
          <w:trHeight w:val="280" w:hRule="atLeast"/>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31110505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老年生活照护实训</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校内</w:t>
            </w:r>
          </w:p>
        </w:tc>
        <w:tc>
          <w:tcPr>
            <w:tcW w:w="0" w:type="auto"/>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13</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31110605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老年运动保健实训</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校内</w:t>
            </w:r>
          </w:p>
        </w:tc>
        <w:tc>
          <w:tcPr>
            <w:tcW w:w="0" w:type="auto"/>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14</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31110705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老年心理护理实训</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校内</w:t>
            </w:r>
          </w:p>
        </w:tc>
        <w:tc>
          <w:tcPr>
            <w:tcW w:w="0" w:type="auto"/>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15</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31110805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临终关怀实训</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校内</w:t>
            </w:r>
          </w:p>
        </w:tc>
        <w:tc>
          <w:tcPr>
            <w:tcW w:w="0" w:type="auto"/>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11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31110905</w:t>
            </w:r>
          </w:p>
        </w:tc>
        <w:tc>
          <w:tcPr>
            <w:tcW w:w="3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膳食与营养配餐实训</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校内</w:t>
            </w:r>
          </w:p>
        </w:tc>
        <w:tc>
          <w:tcPr>
            <w:tcW w:w="0" w:type="auto"/>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288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0" w:type="auto"/>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888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204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456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b/>
                <w:i w:val="0"/>
                <w:color w:val="auto"/>
                <w:sz w:val="18"/>
                <w:szCs w:val="18"/>
                <w:u w:val="none"/>
              </w:rPr>
            </w:pPr>
          </w:p>
        </w:tc>
        <w:tc>
          <w:tcPr>
            <w:tcW w:w="0" w:type="auto"/>
            <w:vMerge w:val="continue"/>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bl>
    <w:p>
      <w:pPr>
        <w:rPr>
          <w:rFonts w:ascii="黑体" w:hAnsi="黑体" w:eastAsia="黑体"/>
          <w:b/>
          <w:color w:val="auto"/>
          <w:sz w:val="24"/>
          <w:szCs w:val="24"/>
        </w:rPr>
      </w:pPr>
    </w:p>
    <w:p>
      <w:pPr>
        <w:pStyle w:val="2"/>
        <w:ind w:left="0" w:leftChars="0" w:firstLine="0" w:firstLineChars="0"/>
        <w:rPr>
          <w:rFonts w:ascii="黑体" w:hAnsi="黑体" w:eastAsia="黑体"/>
          <w:b/>
          <w:color w:val="auto"/>
          <w:szCs w:val="24"/>
        </w:rPr>
      </w:pPr>
    </w:p>
    <w:p>
      <w:pPr>
        <w:pStyle w:val="2"/>
        <w:ind w:firstLine="482"/>
        <w:rPr>
          <w:rFonts w:ascii="黑体" w:hAnsi="黑体" w:eastAsia="黑体"/>
          <w:b/>
          <w:color w:val="auto"/>
          <w:szCs w:val="24"/>
        </w:rPr>
        <w:sectPr>
          <w:type w:val="continuous"/>
          <w:pgSz w:w="16838" w:h="11911" w:orient="landscape"/>
          <w:pgMar w:top="958" w:right="1502" w:bottom="941" w:left="918" w:header="0" w:footer="658" w:gutter="0"/>
          <w:pgNumType w:fmt="decimal"/>
          <w:cols w:space="425" w:num="1"/>
        </w:sectPr>
      </w:pPr>
    </w:p>
    <w:p>
      <w:pPr>
        <w:pStyle w:val="4"/>
        <w:bidi w:val="0"/>
        <w:rPr>
          <w:color w:val="auto"/>
        </w:rPr>
      </w:pPr>
      <w:bookmarkStart w:id="44" w:name="_Toc27261"/>
      <w:bookmarkStart w:id="45" w:name="_Toc30637"/>
      <w:r>
        <w:rPr>
          <w:rFonts w:hint="eastAsia"/>
          <w:color w:val="auto"/>
        </w:rPr>
        <w:t>九、实施保障</w:t>
      </w:r>
      <w:bookmarkEnd w:id="44"/>
      <w:bookmarkEnd w:id="45"/>
    </w:p>
    <w:p>
      <w:pPr>
        <w:pStyle w:val="5"/>
        <w:bidi w:val="0"/>
        <w:rPr>
          <w:color w:val="auto"/>
        </w:rPr>
      </w:pPr>
      <w:bookmarkStart w:id="46" w:name="_Toc15230"/>
      <w:bookmarkStart w:id="47" w:name="_Toc22113"/>
      <w:r>
        <w:rPr>
          <w:rFonts w:hint="eastAsia"/>
          <w:color w:val="auto"/>
        </w:rPr>
        <w:t>（一）师资队伍</w:t>
      </w:r>
      <w:bookmarkEnd w:id="46"/>
      <w:bookmarkEnd w:id="47"/>
    </w:p>
    <w:p>
      <w:pPr>
        <w:pStyle w:val="6"/>
        <w:bidi w:val="0"/>
        <w:rPr>
          <w:color w:val="auto"/>
        </w:rPr>
      </w:pPr>
      <w:bookmarkStart w:id="48" w:name="_Toc17973"/>
      <w:bookmarkStart w:id="49" w:name="_Toc3484"/>
      <w:r>
        <w:rPr>
          <w:rFonts w:hint="eastAsia"/>
          <w:color w:val="auto"/>
        </w:rPr>
        <w:t>1、专业教学团队师资配置要求</w:t>
      </w:r>
      <w:bookmarkEnd w:id="48"/>
      <w:bookmarkEnd w:id="49"/>
      <w:r>
        <w:rPr>
          <w:rFonts w:hint="eastAsia"/>
          <w:color w:val="auto"/>
        </w:rPr>
        <w:t xml:space="preserve"> </w:t>
      </w:r>
    </w:p>
    <w:p>
      <w:pPr>
        <w:bidi w:val="0"/>
        <w:ind w:firstLine="420" w:firstLineChars="200"/>
      </w:pPr>
      <w:r>
        <w:rPr>
          <w:rFonts w:hint="eastAsia"/>
        </w:rPr>
        <w:t>学生数与本专业专任教师数比例不高于 25 :1，双师素质教师占专业教师比例一般不低于60%，专任教师队伍要考虑职称、年龄，形成合理的梯队结构。</w:t>
      </w:r>
    </w:p>
    <w:p>
      <w:pPr>
        <w:pStyle w:val="6"/>
        <w:bidi w:val="0"/>
        <w:rPr>
          <w:color w:val="auto"/>
        </w:rPr>
      </w:pPr>
      <w:bookmarkStart w:id="50" w:name="_Toc18686"/>
      <w:bookmarkStart w:id="51" w:name="_Toc5226"/>
      <w:r>
        <w:rPr>
          <w:rFonts w:hint="eastAsia"/>
          <w:color w:val="auto"/>
        </w:rPr>
        <w:t>2、专任教师任职资格</w:t>
      </w:r>
      <w:bookmarkEnd w:id="50"/>
      <w:bookmarkEnd w:id="51"/>
      <w:r>
        <w:rPr>
          <w:rFonts w:hint="eastAsia"/>
          <w:color w:val="auto"/>
        </w:rPr>
        <w:t xml:space="preserve"> </w:t>
      </w:r>
    </w:p>
    <w:p>
      <w:pPr>
        <w:bidi w:val="0"/>
        <w:ind w:firstLine="420" w:firstLineChars="200"/>
        <w:rPr>
          <w:rFonts w:hint="eastAsia"/>
        </w:rPr>
      </w:pPr>
      <w:r>
        <w:rPr>
          <w:rFonts w:hint="eastAsia"/>
        </w:rPr>
        <w:t>具有高校教师资格和本专业领域有关证书；有理想信念、有道德情操、有扎实学识</w:t>
      </w:r>
      <w:r>
        <w:rPr>
          <w:rFonts w:hint="eastAsia"/>
          <w:lang w:eastAsia="zh-CN"/>
        </w:rPr>
        <w:t>，</w:t>
      </w:r>
      <w:r>
        <w:rPr>
          <w:rFonts w:hint="eastAsia"/>
          <w:lang w:val="en-US" w:eastAsia="zh-CN"/>
        </w:rPr>
        <w:t>有仁爱之心</w:t>
      </w:r>
      <w:r>
        <w:rPr>
          <w:rFonts w:hint="eastAsia"/>
        </w:rPr>
        <w:t xml:space="preserve">；具有扎实的本专业相关理论功底和实践能力；具有较强信息化教学能力，能够开展课程教学改革和科学研究；有每 5 年累计不少于 6 个月的企业实践经历。 </w:t>
      </w:r>
    </w:p>
    <w:p>
      <w:pPr>
        <w:pStyle w:val="6"/>
        <w:bidi w:val="0"/>
        <w:rPr>
          <w:color w:val="auto"/>
        </w:rPr>
      </w:pPr>
      <w:bookmarkStart w:id="52" w:name="_Toc25329"/>
      <w:bookmarkStart w:id="53" w:name="_Toc10115"/>
      <w:r>
        <w:rPr>
          <w:rFonts w:hint="eastAsia"/>
          <w:color w:val="auto"/>
        </w:rPr>
        <w:t>3、兼职教师任职资格</w:t>
      </w:r>
      <w:bookmarkEnd w:id="52"/>
      <w:bookmarkEnd w:id="53"/>
      <w:r>
        <w:rPr>
          <w:rFonts w:hint="eastAsia"/>
          <w:color w:val="auto"/>
        </w:rPr>
        <w:t xml:space="preserve"> </w:t>
      </w:r>
    </w:p>
    <w:p>
      <w:pPr>
        <w:bidi w:val="0"/>
        <w:ind w:firstLine="420" w:firstLineChars="200"/>
      </w:pPr>
      <w:r>
        <w:rPr>
          <w:rFonts w:hint="eastAsia"/>
        </w:rPr>
        <w:t xml:space="preserve">主要从行业企业聘任，具备良好的思想政治素质、职业道德和工匠精神，具有丰富实践经验，具有较高的专业素养和职业能力，理论功底扎实，思维活跃，长期活跃在行业第一线，拥有丰富的实践经验，能承担专业课程教学、实习实训指导等专业教学任务。 </w:t>
      </w:r>
    </w:p>
    <w:p>
      <w:pPr>
        <w:pStyle w:val="5"/>
        <w:bidi w:val="0"/>
        <w:spacing w:line="240" w:lineRule="auto"/>
        <w:rPr>
          <w:color w:val="auto"/>
        </w:rPr>
      </w:pPr>
      <w:bookmarkStart w:id="54" w:name="_Toc10310"/>
      <w:bookmarkStart w:id="55" w:name="_Toc21815"/>
      <w:r>
        <w:rPr>
          <w:rFonts w:hint="eastAsia"/>
          <w:color w:val="auto"/>
        </w:rPr>
        <w:t>（二）教学设施</w:t>
      </w:r>
      <w:bookmarkEnd w:id="54"/>
      <w:bookmarkEnd w:id="55"/>
    </w:p>
    <w:p>
      <w:pPr>
        <w:pStyle w:val="8"/>
        <w:adjustRightInd w:val="0"/>
        <w:spacing w:line="240" w:lineRule="auto"/>
        <w:ind w:firstLine="422" w:firstLineChars="200"/>
        <w:jc w:val="both"/>
        <w:rPr>
          <w:rFonts w:hint="eastAsia" w:ascii="仿宋" w:hAnsi="仿宋" w:eastAsia="仿宋" w:cs="仿宋"/>
          <w:b/>
          <w:bCs/>
          <w:sz w:val="28"/>
          <w:szCs w:val="28"/>
        </w:rPr>
      </w:pPr>
      <w:r>
        <w:rPr>
          <w:rStyle w:val="23"/>
          <w:rFonts w:hint="eastAsia"/>
        </w:rPr>
        <w:t xml:space="preserve"> </w:t>
      </w:r>
      <w:bookmarkStart w:id="56" w:name="_Toc4295"/>
      <w:r>
        <w:rPr>
          <w:rStyle w:val="23"/>
          <w:rFonts w:hint="eastAsia"/>
          <w:lang w:val="en-US"/>
        </w:rPr>
        <w:t>1、</w:t>
      </w:r>
      <w:r>
        <w:rPr>
          <w:rStyle w:val="23"/>
          <w:rFonts w:hint="eastAsia"/>
        </w:rPr>
        <w:t>教室要求</w:t>
      </w:r>
      <w:bookmarkEnd w:id="56"/>
      <w:r>
        <w:rPr>
          <w:rFonts w:hint="eastAsia" w:ascii="仿宋" w:hAnsi="仿宋" w:eastAsia="仿宋" w:cs="仿宋"/>
          <w:b/>
          <w:bCs/>
          <w:sz w:val="28"/>
          <w:szCs w:val="28"/>
        </w:rPr>
        <w:t xml:space="preserve"> </w:t>
      </w:r>
    </w:p>
    <w:p>
      <w:pPr>
        <w:bidi w:val="0"/>
        <w:ind w:firstLine="420" w:firstLineChars="200"/>
        <w:rPr>
          <w:rFonts w:hint="eastAsia"/>
        </w:rPr>
      </w:pPr>
      <w:r>
        <w:rPr>
          <w:rFonts w:hint="eastAsia"/>
        </w:rPr>
        <w:t xml:space="preserve">专业教室一般配备黑(白)板、媒体计算机、投影设备、音响设备，互联网接入或Wi-Fi环境，并实施网络安全防护措施；安装应急照明装置并保持良好状态，符合紧急疏散要求，标志明显，保持逃生通道畅通无阻。 </w:t>
      </w:r>
    </w:p>
    <w:p>
      <w:pPr>
        <w:pStyle w:val="6"/>
        <w:numPr>
          <w:ilvl w:val="0"/>
          <w:numId w:val="3"/>
        </w:numPr>
        <w:bidi w:val="0"/>
        <w:ind w:left="630" w:leftChars="300" w:firstLine="0" w:firstLineChars="0"/>
        <w:rPr>
          <w:rFonts w:hint="eastAsia"/>
          <w:color w:val="auto"/>
        </w:rPr>
      </w:pPr>
      <w:bookmarkStart w:id="57" w:name="_Toc7737"/>
      <w:bookmarkStart w:id="58" w:name="_Toc25378"/>
      <w:r>
        <w:rPr>
          <w:rFonts w:hint="eastAsia"/>
          <w:color w:val="auto"/>
        </w:rPr>
        <w:t>校内实训室</w:t>
      </w:r>
      <w:bookmarkEnd w:id="57"/>
      <w:r>
        <w:rPr>
          <w:rFonts w:hint="eastAsia"/>
          <w:color w:val="auto"/>
          <w:lang w:val="en-US" w:eastAsia="zh-CN"/>
        </w:rPr>
        <w:t>要求</w:t>
      </w:r>
      <w:bookmarkEnd w:id="58"/>
    </w:p>
    <w:p>
      <w:pPr>
        <w:bidi w:val="0"/>
        <w:ind w:firstLine="420" w:firstLineChars="200"/>
        <w:rPr>
          <w:rFonts w:hint="default"/>
          <w:lang w:val="en-US" w:eastAsia="zh-CN"/>
        </w:rPr>
      </w:pPr>
      <w:r>
        <w:rPr>
          <w:rFonts w:hint="eastAsia"/>
          <w:lang w:val="en-US" w:eastAsia="zh-CN"/>
        </w:rPr>
        <w:t>校内实训室应满足教学需求。每间实训室能同时容纳60人的教学班实训需求；实训室种类能够支撑全部核心课程和部分专业课程的的教学需要；实训室种类能够满足1+X证书考试需求。</w:t>
      </w:r>
    </w:p>
    <w:p>
      <w:pPr>
        <w:pStyle w:val="7"/>
        <w:bidi w:val="0"/>
        <w:rPr>
          <w:color w:val="auto"/>
        </w:rPr>
      </w:pPr>
      <w:bookmarkStart w:id="59" w:name="_Toc26716"/>
      <w:r>
        <w:rPr>
          <w:rFonts w:hint="eastAsia"/>
          <w:color w:val="auto"/>
          <w:lang w:val="en-US"/>
        </w:rPr>
        <w:t>表</w:t>
      </w:r>
      <w:r>
        <w:rPr>
          <w:rFonts w:hint="eastAsia"/>
          <w:color w:val="auto"/>
          <w:lang w:val="en-US" w:eastAsia="zh-CN"/>
        </w:rPr>
        <w:t>10</w:t>
      </w:r>
      <w:r>
        <w:rPr>
          <w:rFonts w:hint="eastAsia"/>
          <w:color w:val="auto"/>
          <w:lang w:val="en-US"/>
        </w:rPr>
        <w:t xml:space="preserve"> 校内</w:t>
      </w:r>
      <w:r>
        <w:rPr>
          <w:rFonts w:hint="eastAsia"/>
          <w:color w:val="auto"/>
          <w:lang w:val="en-US" w:eastAsia="zh-CN"/>
        </w:rPr>
        <w:t>应设</w:t>
      </w:r>
      <w:r>
        <w:rPr>
          <w:rFonts w:hint="eastAsia"/>
          <w:color w:val="auto"/>
          <w:lang w:val="en-US"/>
        </w:rPr>
        <w:t>实训室一览表</w:t>
      </w:r>
      <w:bookmarkEnd w:id="59"/>
    </w:p>
    <w:tbl>
      <w:tblPr>
        <w:tblStyle w:val="16"/>
        <w:tblW w:w="6294" w:type="pct"/>
        <w:jc w:val="center"/>
        <w:shd w:val="clear" w:color="auto" w:fill="auto"/>
        <w:tblLayout w:type="autofit"/>
        <w:tblCellMar>
          <w:top w:w="0" w:type="dxa"/>
          <w:left w:w="0" w:type="dxa"/>
          <w:bottom w:w="0" w:type="dxa"/>
          <w:right w:w="0" w:type="dxa"/>
        </w:tblCellMar>
      </w:tblPr>
      <w:tblGrid>
        <w:gridCol w:w="924"/>
        <w:gridCol w:w="2181"/>
        <w:gridCol w:w="3216"/>
        <w:gridCol w:w="3128"/>
        <w:gridCol w:w="1051"/>
      </w:tblGrid>
      <w:tr>
        <w:tblPrEx>
          <w:shd w:val="clear" w:color="auto" w:fill="auto"/>
          <w:tblCellMar>
            <w:top w:w="0" w:type="dxa"/>
            <w:left w:w="0" w:type="dxa"/>
            <w:bottom w:w="0" w:type="dxa"/>
            <w:right w:w="0" w:type="dxa"/>
          </w:tblCellMar>
        </w:tblPrEx>
        <w:trPr>
          <w:trHeight w:val="615" w:hRule="atLeast"/>
          <w:jc w:val="center"/>
        </w:trPr>
        <w:tc>
          <w:tcPr>
            <w:tcW w:w="44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bookmarkStart w:id="60" w:name="_Toc11293"/>
            <w:r>
              <w:rPr>
                <w:rFonts w:hint="eastAsia" w:ascii="宋体" w:hAnsi="宋体" w:eastAsia="宋体" w:cs="宋体"/>
                <w:i w:val="0"/>
                <w:color w:val="000000"/>
                <w:kern w:val="0"/>
                <w:sz w:val="18"/>
                <w:szCs w:val="18"/>
                <w:u w:val="none"/>
                <w:lang w:val="en-US" w:eastAsia="zh-CN" w:bidi="ar"/>
              </w:rPr>
              <w:t>实训教学类别</w:t>
            </w: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实训室名称</w:t>
            </w:r>
          </w:p>
        </w:tc>
        <w:tc>
          <w:tcPr>
            <w:tcW w:w="15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主要实训项目</w:t>
            </w:r>
          </w:p>
        </w:tc>
        <w:tc>
          <w:tcPr>
            <w:tcW w:w="14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对应的主要课程</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实训场所</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面积</w:t>
            </w:r>
            <w:r>
              <w:rPr>
                <w:rStyle w:val="27"/>
                <w:rFonts w:hint="eastAsia" w:ascii="宋体" w:hAnsi="宋体" w:eastAsia="宋体" w:cs="宋体"/>
                <w:sz w:val="18"/>
                <w:szCs w:val="18"/>
                <w:lang w:val="en-US" w:eastAsia="zh-CN" w:bidi="ar"/>
              </w:rPr>
              <w:t>/m</w:t>
            </w:r>
            <w:r>
              <w:rPr>
                <w:rFonts w:hint="eastAsia" w:ascii="宋体" w:hAnsi="宋体" w:eastAsia="宋体" w:cs="宋体"/>
                <w:b/>
                <w:i w:val="0"/>
                <w:color w:val="000000"/>
                <w:kern w:val="0"/>
                <w:sz w:val="18"/>
                <w:szCs w:val="18"/>
                <w:u w:val="none"/>
                <w:vertAlign w:val="superscript"/>
                <w:lang w:val="en-US" w:eastAsia="zh-CN" w:bidi="ar"/>
              </w:rPr>
              <w:t>2</w:t>
            </w:r>
          </w:p>
        </w:tc>
      </w:tr>
      <w:tr>
        <w:tblPrEx>
          <w:shd w:val="clear" w:color="auto" w:fill="auto"/>
          <w:tblCellMar>
            <w:top w:w="0" w:type="dxa"/>
            <w:left w:w="0" w:type="dxa"/>
            <w:bottom w:w="0" w:type="dxa"/>
            <w:right w:w="0" w:type="dxa"/>
          </w:tblCellMar>
        </w:tblPrEx>
        <w:trPr>
          <w:trHeight w:val="630" w:hRule="atLeast"/>
          <w:jc w:val="center"/>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专业基础</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技能实训</w:t>
            </w: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老年综合实训室</w:t>
            </w:r>
          </w:p>
        </w:tc>
        <w:tc>
          <w:tcPr>
            <w:tcW w:w="15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9"/>
                <w:rFonts w:hint="eastAsia" w:ascii="宋体" w:hAnsi="宋体" w:eastAsia="宋体" w:cs="宋体"/>
                <w:sz w:val="18"/>
                <w:szCs w:val="18"/>
                <w:lang w:val="en-US" w:eastAsia="zh-CN" w:bidi="ar"/>
              </w:rPr>
              <w:t>高龄模拟体验；</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2.中风模拟体验</w:t>
            </w:r>
          </w:p>
        </w:tc>
        <w:tc>
          <w:tcPr>
            <w:tcW w:w="14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9"/>
                <w:rFonts w:hint="eastAsia" w:ascii="宋体" w:hAnsi="宋体" w:eastAsia="宋体" w:cs="宋体"/>
                <w:sz w:val="18"/>
                <w:szCs w:val="18"/>
                <w:lang w:val="en-US" w:eastAsia="zh-CN" w:bidi="ar"/>
              </w:rPr>
              <w:t>老年服务与管理概论基础</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140</w:t>
            </w:r>
          </w:p>
        </w:tc>
      </w:tr>
      <w:tr>
        <w:tblPrEx>
          <w:shd w:val="clear" w:color="auto" w:fill="auto"/>
          <w:tblCellMar>
            <w:top w:w="0" w:type="dxa"/>
            <w:left w:w="0" w:type="dxa"/>
            <w:bottom w:w="0" w:type="dxa"/>
            <w:right w:w="0" w:type="dxa"/>
          </w:tblCellMar>
        </w:tblPrEx>
        <w:trPr>
          <w:trHeight w:val="114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老年综合评估实训室</w:t>
            </w:r>
          </w:p>
        </w:tc>
        <w:tc>
          <w:tcPr>
            <w:tcW w:w="15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1.老年人生命体征观察与测量；</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2.老年人认知能力评估</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3.老年人日常生活能力评估；</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4.老年人日常活动能力评估；</w:t>
            </w:r>
          </w:p>
        </w:tc>
        <w:tc>
          <w:tcPr>
            <w:tcW w:w="14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9"/>
                <w:rFonts w:hint="eastAsia" w:ascii="宋体" w:hAnsi="宋体" w:eastAsia="宋体" w:cs="宋体"/>
                <w:sz w:val="18"/>
                <w:szCs w:val="18"/>
                <w:lang w:val="en-US" w:eastAsia="zh-CN" w:bidi="ar"/>
              </w:rPr>
              <w:t>老年能力评估师；（1+X</w:t>
            </w:r>
            <w:r>
              <w:rPr>
                <w:rStyle w:val="30"/>
                <w:rFonts w:hint="eastAsia" w:ascii="宋体" w:hAnsi="宋体" w:eastAsia="宋体" w:cs="宋体"/>
                <w:sz w:val="18"/>
                <w:szCs w:val="18"/>
                <w:lang w:val="en-US" w:eastAsia="zh-CN" w:bidi="ar"/>
              </w:rPr>
              <w:t xml:space="preserve"> </w:t>
            </w:r>
            <w:r>
              <w:rPr>
                <w:rStyle w:val="29"/>
                <w:rFonts w:hint="eastAsia" w:ascii="宋体" w:hAnsi="宋体" w:eastAsia="宋体" w:cs="宋体"/>
                <w:sz w:val="18"/>
                <w:szCs w:val="18"/>
                <w:lang w:val="en-US" w:eastAsia="zh-CN" w:bidi="ar"/>
              </w:rPr>
              <w:t>证书）</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2.老年健康评估；</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3.老年照护评估（1+X</w:t>
            </w:r>
            <w:r>
              <w:rPr>
                <w:rStyle w:val="28"/>
                <w:rFonts w:hint="eastAsia" w:ascii="宋体" w:hAnsi="宋体" w:eastAsia="宋体" w:cs="宋体"/>
                <w:sz w:val="18"/>
                <w:szCs w:val="18"/>
                <w:lang w:val="en-US" w:eastAsia="zh-CN" w:bidi="ar"/>
              </w:rPr>
              <w:t xml:space="preserve"> </w:t>
            </w:r>
            <w:r>
              <w:rPr>
                <w:rStyle w:val="29"/>
                <w:rFonts w:hint="eastAsia" w:ascii="宋体" w:hAnsi="宋体" w:eastAsia="宋体" w:cs="宋体"/>
                <w:sz w:val="18"/>
                <w:szCs w:val="18"/>
                <w:lang w:val="en-US" w:eastAsia="zh-CN" w:bidi="ar"/>
              </w:rPr>
              <w:t>证书）</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w:t>
            </w:r>
          </w:p>
        </w:tc>
      </w:tr>
      <w:tr>
        <w:tblPrEx>
          <w:shd w:val="clear" w:color="auto" w:fill="auto"/>
          <w:tblCellMar>
            <w:top w:w="0" w:type="dxa"/>
            <w:left w:w="0" w:type="dxa"/>
            <w:bottom w:w="0" w:type="dxa"/>
            <w:right w:w="0" w:type="dxa"/>
          </w:tblCellMar>
        </w:tblPrEx>
        <w:trPr>
          <w:trHeight w:val="189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老年基础护理实训室</w:t>
            </w:r>
          </w:p>
        </w:tc>
        <w:tc>
          <w:tcPr>
            <w:tcW w:w="15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9"/>
                <w:rFonts w:hint="eastAsia" w:ascii="宋体" w:hAnsi="宋体" w:eastAsia="宋体" w:cs="宋体"/>
                <w:sz w:val="18"/>
                <w:szCs w:val="18"/>
                <w:lang w:val="en-US" w:eastAsia="zh-CN" w:bidi="ar"/>
              </w:rPr>
              <w:t>体征观测；</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2.用药照护；</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3.风险应对；</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4.护理协助；</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5.感染防控；</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6.失智照护</w:t>
            </w:r>
          </w:p>
        </w:tc>
        <w:tc>
          <w:tcPr>
            <w:tcW w:w="14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9"/>
                <w:rFonts w:hint="eastAsia" w:ascii="宋体" w:hAnsi="宋体" w:eastAsia="宋体" w:cs="宋体"/>
                <w:sz w:val="18"/>
                <w:szCs w:val="18"/>
                <w:lang w:val="en-US" w:eastAsia="zh-CN" w:bidi="ar"/>
              </w:rPr>
              <w:t>老年健康照护技术；</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2.人体结构与机能；</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3.老年常见病预防与照护；</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4.失智老年人照护（</w:t>
            </w:r>
            <w:r>
              <w:rPr>
                <w:rStyle w:val="28"/>
                <w:rFonts w:hint="eastAsia" w:ascii="宋体" w:hAnsi="宋体" w:eastAsia="宋体" w:cs="宋体"/>
                <w:sz w:val="18"/>
                <w:szCs w:val="18"/>
                <w:lang w:val="en-US" w:eastAsia="zh-CN" w:bidi="ar"/>
              </w:rPr>
              <w:t xml:space="preserve"> </w:t>
            </w:r>
            <w:r>
              <w:rPr>
                <w:rStyle w:val="29"/>
                <w:rFonts w:hint="eastAsia" w:ascii="宋体" w:hAnsi="宋体" w:eastAsia="宋体" w:cs="宋体"/>
                <w:sz w:val="18"/>
                <w:szCs w:val="18"/>
                <w:lang w:val="en-US" w:eastAsia="zh-CN" w:bidi="ar"/>
              </w:rPr>
              <w:t>1+X证书）</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140</w:t>
            </w:r>
          </w:p>
        </w:tc>
      </w:tr>
      <w:tr>
        <w:tblPrEx>
          <w:shd w:val="clear" w:color="auto" w:fill="auto"/>
          <w:tblCellMar>
            <w:top w:w="0" w:type="dxa"/>
            <w:left w:w="0" w:type="dxa"/>
            <w:bottom w:w="0" w:type="dxa"/>
            <w:right w:w="0" w:type="dxa"/>
          </w:tblCellMar>
        </w:tblPrEx>
        <w:trPr>
          <w:trHeight w:val="126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老年心理实训室</w:t>
            </w:r>
          </w:p>
        </w:tc>
        <w:tc>
          <w:tcPr>
            <w:tcW w:w="15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9"/>
                <w:rFonts w:hint="eastAsia" w:ascii="宋体" w:hAnsi="宋体" w:eastAsia="宋体" w:cs="宋体"/>
                <w:sz w:val="18"/>
                <w:szCs w:val="18"/>
                <w:lang w:val="en-US" w:eastAsia="zh-CN" w:bidi="ar"/>
              </w:rPr>
              <w:t>心理健康教育；</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2.心理健康测评；</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3.心理出访接待；</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4.心理辅导技术</w:t>
            </w:r>
          </w:p>
        </w:tc>
        <w:tc>
          <w:tcPr>
            <w:tcW w:w="14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9"/>
                <w:rFonts w:hint="eastAsia" w:ascii="宋体" w:hAnsi="宋体" w:eastAsia="宋体" w:cs="宋体"/>
                <w:sz w:val="18"/>
                <w:szCs w:val="18"/>
                <w:lang w:val="en-US" w:eastAsia="zh-CN" w:bidi="ar"/>
              </w:rPr>
              <w:t>老年心理护理；</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2.老年服务礼仪；</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w:t>
            </w:r>
          </w:p>
        </w:tc>
      </w:tr>
      <w:tr>
        <w:tblPrEx>
          <w:shd w:val="clear" w:color="auto" w:fill="auto"/>
          <w:tblCellMar>
            <w:top w:w="0" w:type="dxa"/>
            <w:left w:w="0" w:type="dxa"/>
            <w:bottom w:w="0" w:type="dxa"/>
            <w:right w:w="0" w:type="dxa"/>
          </w:tblCellMar>
        </w:tblPrEx>
        <w:trPr>
          <w:trHeight w:val="1890" w:hRule="atLeast"/>
          <w:jc w:val="center"/>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专业核心</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技能实训</w:t>
            </w: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老年生活照护实训室</w:t>
            </w:r>
          </w:p>
        </w:tc>
        <w:tc>
          <w:tcPr>
            <w:tcW w:w="15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9"/>
                <w:rFonts w:hint="eastAsia" w:ascii="宋体" w:hAnsi="宋体" w:eastAsia="宋体" w:cs="宋体"/>
                <w:sz w:val="18"/>
                <w:szCs w:val="18"/>
                <w:lang w:val="en-US" w:eastAsia="zh-CN" w:bidi="ar"/>
              </w:rPr>
              <w:t>清洁照护；</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2.更换衣物；</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3.饮食照护；</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4.排泄照护；</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5.睡眠照护；</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6.环境清洁</w:t>
            </w:r>
          </w:p>
        </w:tc>
        <w:tc>
          <w:tcPr>
            <w:tcW w:w="14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9"/>
                <w:rFonts w:hint="eastAsia" w:ascii="宋体" w:hAnsi="宋体" w:eastAsia="宋体" w:cs="宋体"/>
                <w:sz w:val="18"/>
                <w:szCs w:val="18"/>
                <w:lang w:val="en-US" w:eastAsia="zh-CN" w:bidi="ar"/>
              </w:rPr>
              <w:t>老年健康照护技术；</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2.老年常见病预防与照护；</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3.老年照护（1+X</w:t>
            </w:r>
            <w:r>
              <w:rPr>
                <w:rStyle w:val="28"/>
                <w:rFonts w:hint="eastAsia" w:ascii="宋体" w:hAnsi="宋体" w:eastAsia="宋体" w:cs="宋体"/>
                <w:sz w:val="18"/>
                <w:szCs w:val="18"/>
                <w:lang w:val="en-US" w:eastAsia="zh-CN" w:bidi="ar"/>
              </w:rPr>
              <w:t xml:space="preserve"> </w:t>
            </w:r>
            <w:r>
              <w:rPr>
                <w:rStyle w:val="29"/>
                <w:rFonts w:hint="eastAsia" w:ascii="宋体" w:hAnsi="宋体" w:eastAsia="宋体" w:cs="宋体"/>
                <w:sz w:val="18"/>
                <w:szCs w:val="18"/>
                <w:lang w:val="en-US" w:eastAsia="zh-CN" w:bidi="ar"/>
              </w:rPr>
              <w:t>证书）</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140</w:t>
            </w:r>
          </w:p>
        </w:tc>
      </w:tr>
      <w:tr>
        <w:tblPrEx>
          <w:shd w:val="clear" w:color="auto" w:fill="auto"/>
          <w:tblCellMar>
            <w:top w:w="0" w:type="dxa"/>
            <w:left w:w="0" w:type="dxa"/>
            <w:bottom w:w="0" w:type="dxa"/>
            <w:right w:w="0" w:type="dxa"/>
          </w:tblCellMar>
        </w:tblPrEx>
        <w:trPr>
          <w:trHeight w:val="945"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居家社区养老实训室</w:t>
            </w:r>
          </w:p>
        </w:tc>
        <w:tc>
          <w:tcPr>
            <w:tcW w:w="15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9"/>
                <w:rFonts w:hint="eastAsia" w:ascii="宋体" w:hAnsi="宋体" w:eastAsia="宋体" w:cs="宋体"/>
                <w:sz w:val="18"/>
                <w:szCs w:val="18"/>
                <w:lang w:val="en-US" w:eastAsia="zh-CN" w:bidi="ar"/>
              </w:rPr>
              <w:t>社区居家生活模拟；</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2.社区居家护理；</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3.适老化环境设计与改造</w:t>
            </w:r>
          </w:p>
        </w:tc>
        <w:tc>
          <w:tcPr>
            <w:tcW w:w="14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9"/>
                <w:rFonts w:hint="eastAsia" w:ascii="宋体" w:hAnsi="宋体" w:eastAsia="宋体" w:cs="宋体"/>
                <w:sz w:val="18"/>
                <w:szCs w:val="18"/>
                <w:lang w:val="en-US" w:eastAsia="zh-CN" w:bidi="ar"/>
              </w:rPr>
              <w:t>社区养老；</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2.适老化环境设计与改造；</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3.中医护理与保健</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140</w:t>
            </w:r>
          </w:p>
        </w:tc>
      </w:tr>
      <w:tr>
        <w:tblPrEx>
          <w:shd w:val="clear" w:color="auto" w:fill="auto"/>
          <w:tblCellMar>
            <w:top w:w="0" w:type="dxa"/>
            <w:left w:w="0" w:type="dxa"/>
            <w:bottom w:w="0" w:type="dxa"/>
            <w:right w:w="0" w:type="dxa"/>
          </w:tblCellMar>
        </w:tblPrEx>
        <w:trPr>
          <w:trHeight w:val="57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养老机构运营实训室</w:t>
            </w:r>
          </w:p>
        </w:tc>
        <w:tc>
          <w:tcPr>
            <w:tcW w:w="15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1.养老机构信息化管理；</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2.养老机构流程管理</w:t>
            </w:r>
          </w:p>
        </w:tc>
        <w:tc>
          <w:tcPr>
            <w:tcW w:w="14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1.养老机构运营与管理；</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2.老年服务政策法规；</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140</w:t>
            </w:r>
          </w:p>
        </w:tc>
      </w:tr>
      <w:tr>
        <w:tblPrEx>
          <w:shd w:val="clear" w:color="auto" w:fill="auto"/>
          <w:tblCellMar>
            <w:top w:w="0" w:type="dxa"/>
            <w:left w:w="0" w:type="dxa"/>
            <w:bottom w:w="0" w:type="dxa"/>
            <w:right w:w="0" w:type="dxa"/>
          </w:tblCellMar>
        </w:tblPrEx>
        <w:trPr>
          <w:trHeight w:val="2115"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老年康复实训室</w:t>
            </w:r>
          </w:p>
        </w:tc>
        <w:tc>
          <w:tcPr>
            <w:tcW w:w="15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1.功能障碍评估；</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w:t>
            </w:r>
            <w:r>
              <w:rPr>
                <w:rStyle w:val="29"/>
                <w:rFonts w:hint="eastAsia" w:ascii="宋体" w:hAnsi="宋体" w:eastAsia="宋体" w:cs="宋体"/>
                <w:sz w:val="18"/>
                <w:szCs w:val="18"/>
                <w:lang w:val="en-US" w:eastAsia="zh-CN" w:bidi="ar"/>
              </w:rPr>
              <w:t>关节活动度训练；</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3.步行训练；</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4.平衡训练；</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5.床上活动训练；</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6.转移训练；</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7.日常生活活动能力训练</w:t>
            </w:r>
          </w:p>
        </w:tc>
        <w:tc>
          <w:tcPr>
            <w:tcW w:w="14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1.老年康复与保健；</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140</w:t>
            </w:r>
          </w:p>
        </w:tc>
      </w:tr>
      <w:tr>
        <w:tblPrEx>
          <w:shd w:val="clear" w:color="auto" w:fill="auto"/>
          <w:tblCellMar>
            <w:top w:w="0" w:type="dxa"/>
            <w:left w:w="0" w:type="dxa"/>
            <w:bottom w:w="0" w:type="dxa"/>
            <w:right w:w="0" w:type="dxa"/>
          </w:tblCellMar>
        </w:tblPrEx>
        <w:trPr>
          <w:trHeight w:val="126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老年活动与礼仪实训室</w:t>
            </w:r>
          </w:p>
        </w:tc>
        <w:tc>
          <w:tcPr>
            <w:tcW w:w="15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9"/>
                <w:rFonts w:hint="eastAsia" w:ascii="宋体" w:hAnsi="宋体" w:eastAsia="宋体" w:cs="宋体"/>
                <w:sz w:val="18"/>
                <w:szCs w:val="18"/>
                <w:lang w:val="en-US" w:eastAsia="zh-CN" w:bidi="ar"/>
              </w:rPr>
              <w:t>乐龄游戏疗法；</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2.艺术活动疗法；</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3.礼仪训练</w:t>
            </w:r>
          </w:p>
        </w:tc>
        <w:tc>
          <w:tcPr>
            <w:tcW w:w="14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9"/>
                <w:rFonts w:hint="eastAsia" w:ascii="宋体" w:hAnsi="宋体" w:eastAsia="宋体" w:cs="宋体"/>
                <w:sz w:val="18"/>
                <w:szCs w:val="18"/>
                <w:lang w:val="en-US" w:eastAsia="zh-CN" w:bidi="ar"/>
              </w:rPr>
              <w:t>老年社会工作实务；</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2.老年活动策划与组织；</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3.老年服务礼仪；</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4.老年康体指导（1+X</w:t>
            </w:r>
            <w:r>
              <w:rPr>
                <w:rStyle w:val="28"/>
                <w:rFonts w:hint="eastAsia" w:ascii="宋体" w:hAnsi="宋体" w:eastAsia="宋体" w:cs="宋体"/>
                <w:sz w:val="18"/>
                <w:szCs w:val="18"/>
                <w:lang w:val="en-US" w:eastAsia="zh-CN" w:bidi="ar"/>
              </w:rPr>
              <w:t xml:space="preserve"> </w:t>
            </w:r>
            <w:r>
              <w:rPr>
                <w:rStyle w:val="29"/>
                <w:rFonts w:hint="eastAsia" w:ascii="宋体" w:hAnsi="宋体" w:eastAsia="宋体" w:cs="宋体"/>
                <w:sz w:val="18"/>
                <w:szCs w:val="18"/>
                <w:lang w:val="en-US" w:eastAsia="zh-CN" w:bidi="ar"/>
              </w:rPr>
              <w:t>证书</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140</w:t>
            </w:r>
          </w:p>
        </w:tc>
      </w:tr>
      <w:tr>
        <w:tblPrEx>
          <w:shd w:val="clear" w:color="auto" w:fill="auto"/>
          <w:tblCellMar>
            <w:top w:w="0" w:type="dxa"/>
            <w:left w:w="0" w:type="dxa"/>
            <w:bottom w:w="0" w:type="dxa"/>
            <w:right w:w="0" w:type="dxa"/>
          </w:tblCellMar>
        </w:tblPrEx>
        <w:trPr>
          <w:trHeight w:val="57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适老化环境</w:t>
            </w:r>
          </w:p>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设计与改造实训室</w:t>
            </w:r>
          </w:p>
        </w:tc>
        <w:tc>
          <w:tcPr>
            <w:tcW w:w="15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1.适老化环境设计；</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2.适老化环境改造</w:t>
            </w:r>
          </w:p>
        </w:tc>
        <w:tc>
          <w:tcPr>
            <w:tcW w:w="14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1.适老化环境设计与改造</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575" w:hRule="atLeast"/>
          <w:jc w:val="center"/>
        </w:trPr>
        <w:tc>
          <w:tcPr>
            <w:tcW w:w="44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专业拓展</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技能实训</w:t>
            </w: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失智老年人照护实训室</w:t>
            </w:r>
          </w:p>
        </w:tc>
        <w:tc>
          <w:tcPr>
            <w:tcW w:w="15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9"/>
                <w:rFonts w:hint="eastAsia" w:ascii="宋体" w:hAnsi="宋体" w:eastAsia="宋体" w:cs="宋体"/>
                <w:sz w:val="18"/>
                <w:szCs w:val="18"/>
                <w:lang w:val="en-US" w:eastAsia="zh-CN" w:bidi="ar"/>
              </w:rPr>
              <w:t>认知功能测评；</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2.认知功能训练；</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3.非药物干预照护；</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4.环境照护；</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5.防走失照护</w:t>
            </w:r>
          </w:p>
        </w:tc>
        <w:tc>
          <w:tcPr>
            <w:tcW w:w="14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9"/>
                <w:rFonts w:hint="eastAsia" w:ascii="宋体" w:hAnsi="宋体" w:eastAsia="宋体" w:cs="宋体"/>
                <w:sz w:val="18"/>
                <w:szCs w:val="18"/>
                <w:lang w:val="en-US" w:eastAsia="zh-CN" w:bidi="ar"/>
              </w:rPr>
              <w:t>老年心理护理；</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2.失智老年人照护（1+X</w:t>
            </w:r>
            <w:r>
              <w:rPr>
                <w:rStyle w:val="28"/>
                <w:rFonts w:hint="eastAsia" w:ascii="宋体" w:hAnsi="宋体" w:eastAsia="宋体" w:cs="宋体"/>
                <w:sz w:val="18"/>
                <w:szCs w:val="18"/>
                <w:lang w:val="en-US" w:eastAsia="zh-CN" w:bidi="ar"/>
              </w:rPr>
              <w:t xml:space="preserve"> </w:t>
            </w:r>
            <w:r>
              <w:rPr>
                <w:rStyle w:val="29"/>
                <w:rFonts w:hint="eastAsia" w:ascii="宋体" w:hAnsi="宋体" w:eastAsia="宋体" w:cs="宋体"/>
                <w:sz w:val="18"/>
                <w:szCs w:val="18"/>
                <w:lang w:val="en-US" w:eastAsia="zh-CN" w:bidi="ar"/>
              </w:rPr>
              <w:t>证书）</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63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老年产品与辅具实训室</w:t>
            </w:r>
          </w:p>
        </w:tc>
        <w:tc>
          <w:tcPr>
            <w:tcW w:w="15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9"/>
                <w:rFonts w:hint="eastAsia" w:ascii="宋体" w:hAnsi="宋体" w:eastAsia="宋体" w:cs="宋体"/>
                <w:sz w:val="18"/>
                <w:szCs w:val="18"/>
                <w:lang w:val="en-US" w:eastAsia="zh-CN" w:bidi="ar"/>
              </w:rPr>
              <w:t>老年辅具的选配；</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2.老年辅具的使用</w:t>
            </w:r>
          </w:p>
        </w:tc>
        <w:tc>
          <w:tcPr>
            <w:tcW w:w="14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8"/>
                <w:rFonts w:hint="eastAsia" w:ascii="宋体" w:hAnsi="宋体" w:eastAsia="宋体" w:cs="宋体"/>
                <w:sz w:val="18"/>
                <w:szCs w:val="18"/>
                <w:lang w:val="en-US" w:eastAsia="zh-CN" w:bidi="ar"/>
              </w:rPr>
              <w:t xml:space="preserve"> </w:t>
            </w:r>
            <w:r>
              <w:rPr>
                <w:rStyle w:val="29"/>
                <w:rFonts w:hint="eastAsia" w:ascii="宋体" w:hAnsi="宋体" w:eastAsia="宋体" w:cs="宋体"/>
                <w:sz w:val="18"/>
                <w:szCs w:val="18"/>
                <w:lang w:val="en-US" w:eastAsia="zh-CN" w:bidi="ar"/>
              </w:rPr>
              <w:t>老年产品市场开发；</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2.老年辅助器具应用</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63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智慧养老与</w:t>
            </w:r>
          </w:p>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远程医养实训室</w:t>
            </w:r>
          </w:p>
        </w:tc>
        <w:tc>
          <w:tcPr>
            <w:tcW w:w="15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9"/>
                <w:rFonts w:hint="eastAsia" w:ascii="宋体" w:hAnsi="宋体" w:eastAsia="宋体" w:cs="宋体"/>
                <w:sz w:val="18"/>
                <w:szCs w:val="18"/>
                <w:lang w:val="en-US" w:eastAsia="zh-CN" w:bidi="ar"/>
              </w:rPr>
              <w:t>养老服务管理信息化；</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2.养老监管调度信息化</w:t>
            </w:r>
          </w:p>
        </w:tc>
        <w:tc>
          <w:tcPr>
            <w:tcW w:w="14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9"/>
                <w:rFonts w:hint="eastAsia" w:ascii="宋体" w:hAnsi="宋体" w:eastAsia="宋体" w:cs="宋体"/>
                <w:sz w:val="18"/>
                <w:szCs w:val="18"/>
                <w:lang w:val="en-US" w:eastAsia="zh-CN" w:bidi="ar"/>
              </w:rPr>
              <w:t>智慧养老服务；</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2.医养康实务；</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45"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身心活化与</w:t>
            </w:r>
          </w:p>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音乐疗法实训室</w:t>
            </w:r>
          </w:p>
        </w:tc>
        <w:tc>
          <w:tcPr>
            <w:tcW w:w="15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9"/>
                <w:rFonts w:hint="eastAsia" w:ascii="宋体" w:hAnsi="宋体" w:eastAsia="宋体" w:cs="宋体"/>
                <w:sz w:val="18"/>
                <w:szCs w:val="18"/>
                <w:lang w:val="en-US" w:eastAsia="zh-CN" w:bidi="ar"/>
              </w:rPr>
              <w:t>中高龄身心活化运动；</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2音乐照顾；</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3.</w:t>
            </w:r>
            <w:r>
              <w:rPr>
                <w:rStyle w:val="28"/>
                <w:rFonts w:hint="eastAsia" w:ascii="宋体" w:hAnsi="宋体" w:eastAsia="宋体" w:cs="宋体"/>
                <w:sz w:val="18"/>
                <w:szCs w:val="18"/>
                <w:lang w:val="en-US" w:eastAsia="zh-CN" w:bidi="ar"/>
              </w:rPr>
              <w:t xml:space="preserve"> </w:t>
            </w:r>
            <w:r>
              <w:rPr>
                <w:rStyle w:val="29"/>
                <w:rFonts w:hint="eastAsia" w:ascii="宋体" w:hAnsi="宋体" w:eastAsia="宋体" w:cs="宋体"/>
                <w:sz w:val="18"/>
                <w:szCs w:val="18"/>
                <w:lang w:val="en-US" w:eastAsia="zh-CN" w:bidi="ar"/>
              </w:rPr>
              <w:t>中高龄舒压按摩</w:t>
            </w:r>
          </w:p>
        </w:tc>
        <w:tc>
          <w:tcPr>
            <w:tcW w:w="14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9"/>
                <w:rFonts w:hint="eastAsia" w:ascii="宋体" w:hAnsi="宋体" w:eastAsia="宋体" w:cs="宋体"/>
                <w:sz w:val="18"/>
                <w:szCs w:val="18"/>
                <w:lang w:val="en-US" w:eastAsia="zh-CN" w:bidi="ar"/>
              </w:rPr>
              <w:t>老年活动策划与组织；</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2.老年社会工作实务；</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630" w:hRule="atLeast"/>
          <w:jc w:val="center"/>
        </w:trPr>
        <w:tc>
          <w:tcPr>
            <w:tcW w:w="44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安宁疗护与</w:t>
            </w:r>
          </w:p>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生命关怀实训室</w:t>
            </w:r>
          </w:p>
        </w:tc>
        <w:tc>
          <w:tcPr>
            <w:tcW w:w="15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9"/>
                <w:rFonts w:hint="eastAsia" w:ascii="宋体" w:hAnsi="宋体" w:eastAsia="宋体" w:cs="宋体"/>
                <w:sz w:val="18"/>
                <w:szCs w:val="18"/>
                <w:lang w:val="en-US" w:eastAsia="zh-CN" w:bidi="ar"/>
              </w:rPr>
              <w:t>安宁疗护；</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2.生命教育</w:t>
            </w:r>
          </w:p>
        </w:tc>
        <w:tc>
          <w:tcPr>
            <w:tcW w:w="14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r>
              <w:rPr>
                <w:rStyle w:val="29"/>
                <w:rFonts w:hint="eastAsia" w:ascii="宋体" w:hAnsi="宋体" w:eastAsia="宋体" w:cs="宋体"/>
                <w:sz w:val="18"/>
                <w:szCs w:val="18"/>
                <w:lang w:val="en-US" w:eastAsia="zh-CN" w:bidi="ar"/>
              </w:rPr>
              <w:t>老年生活照料；</w:t>
            </w:r>
            <w:r>
              <w:rPr>
                <w:rStyle w:val="29"/>
                <w:rFonts w:hint="eastAsia" w:ascii="宋体" w:hAnsi="宋体" w:eastAsia="宋体" w:cs="宋体"/>
                <w:sz w:val="18"/>
                <w:szCs w:val="18"/>
                <w:lang w:val="en-US" w:eastAsia="zh-CN" w:bidi="ar"/>
              </w:rPr>
              <w:br w:type="textWrapping"/>
            </w:r>
            <w:r>
              <w:rPr>
                <w:rStyle w:val="29"/>
                <w:rFonts w:hint="eastAsia" w:ascii="宋体" w:hAnsi="宋体" w:eastAsia="宋体" w:cs="宋体"/>
                <w:sz w:val="18"/>
                <w:szCs w:val="18"/>
                <w:lang w:val="en-US" w:eastAsia="zh-CN" w:bidi="ar"/>
              </w:rPr>
              <w:t>2.安宁照护；</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bl>
    <w:p>
      <w:pPr>
        <w:pStyle w:val="6"/>
        <w:bidi w:val="0"/>
        <w:rPr>
          <w:rFonts w:hint="eastAsia"/>
          <w:color w:val="auto"/>
        </w:rPr>
      </w:pPr>
    </w:p>
    <w:p>
      <w:pPr>
        <w:pStyle w:val="6"/>
        <w:bidi w:val="0"/>
        <w:rPr>
          <w:rFonts w:hint="eastAsia" w:eastAsia="仿宋"/>
          <w:color w:val="auto"/>
          <w:lang w:val="en-US" w:eastAsia="zh-CN"/>
        </w:rPr>
      </w:pPr>
      <w:bookmarkStart w:id="61" w:name="_Toc380"/>
      <w:r>
        <w:rPr>
          <w:rFonts w:hint="eastAsia"/>
          <w:color w:val="auto"/>
        </w:rPr>
        <w:t>2、校外</w:t>
      </w:r>
      <w:r>
        <w:rPr>
          <w:rFonts w:hint="eastAsia"/>
          <w:color w:val="auto"/>
          <w:lang w:val="en-US" w:eastAsia="zh-CN"/>
        </w:rPr>
        <w:t>实习</w:t>
      </w:r>
      <w:r>
        <w:rPr>
          <w:rFonts w:hint="eastAsia"/>
          <w:color w:val="auto"/>
        </w:rPr>
        <w:t>基地</w:t>
      </w:r>
      <w:bookmarkEnd w:id="60"/>
      <w:r>
        <w:rPr>
          <w:rFonts w:hint="eastAsia"/>
          <w:color w:val="auto"/>
          <w:lang w:val="en-US" w:eastAsia="zh-CN"/>
        </w:rPr>
        <w:t>要求</w:t>
      </w:r>
      <w:bookmarkEnd w:id="61"/>
    </w:p>
    <w:p>
      <w:pPr>
        <w:bidi w:val="0"/>
        <w:ind w:firstLine="420" w:firstLineChars="200"/>
        <w:rPr>
          <w:rFonts w:hint="eastAsia"/>
        </w:rPr>
      </w:pPr>
      <w:bookmarkStart w:id="62" w:name="_Toc27110"/>
      <w:r>
        <w:rPr>
          <w:rFonts w:hint="eastAsia"/>
        </w:rPr>
        <w:t xml:space="preserve">学院与行业、企业紧密结合，依据校企共建、互惠互利的原则，建成校企资源互补、资源共享的校外实习基地。校外教学实习基地的基本条件为： </w:t>
      </w:r>
    </w:p>
    <w:p>
      <w:pPr>
        <w:bidi w:val="0"/>
        <w:rPr>
          <w:rFonts w:hint="eastAsia"/>
        </w:rPr>
      </w:pPr>
      <w:r>
        <w:rPr>
          <w:rFonts w:hint="eastAsia"/>
        </w:rPr>
        <w:t>（</w:t>
      </w:r>
      <w:r>
        <w:rPr>
          <w:rFonts w:hint="eastAsia"/>
          <w:lang w:val="en-US"/>
        </w:rPr>
        <w:t>1）</w:t>
      </w:r>
      <w:r>
        <w:rPr>
          <w:rFonts w:hint="eastAsia"/>
        </w:rPr>
        <w:t xml:space="preserve">校外教学实习基地由学院与有关企事业单位协商共同建立； </w:t>
      </w:r>
    </w:p>
    <w:p>
      <w:pPr>
        <w:bidi w:val="0"/>
        <w:rPr>
          <w:rFonts w:hint="eastAsia"/>
          <w:lang w:val="en-US"/>
        </w:rPr>
      </w:pPr>
      <w:r>
        <w:rPr>
          <w:rFonts w:hint="eastAsia"/>
        </w:rPr>
        <w:t>（</w:t>
      </w:r>
      <w:r>
        <w:rPr>
          <w:rFonts w:hint="eastAsia"/>
          <w:lang w:val="en-US"/>
        </w:rPr>
        <w:t>2）</w:t>
      </w:r>
      <w:r>
        <w:rPr>
          <w:rFonts w:hint="eastAsia"/>
        </w:rPr>
        <w:t>应根据专业的特点，选择能满足实习教学要求的企事业单位作为校外教学实习基地；</w:t>
      </w:r>
    </w:p>
    <w:p>
      <w:pPr>
        <w:bidi w:val="0"/>
        <w:rPr>
          <w:rFonts w:hint="eastAsia"/>
        </w:rPr>
      </w:pPr>
      <w:r>
        <w:rPr>
          <w:rFonts w:hint="eastAsia"/>
        </w:rPr>
        <w:t>（</w:t>
      </w:r>
      <w:r>
        <w:rPr>
          <w:rFonts w:hint="eastAsia"/>
          <w:lang w:val="en-US"/>
        </w:rPr>
        <w:t>3</w:t>
      </w:r>
      <w:r>
        <w:rPr>
          <w:rFonts w:hint="eastAsia"/>
        </w:rPr>
        <w:t xml:space="preserve">）作为校外教学实习基地的企事业单位，应能够提供必要的实习条件，其运营正常，技术和管理先进，在业界享有较高的知名度和美誉度，对学生实习比较重视； </w:t>
      </w:r>
    </w:p>
    <w:p>
      <w:pPr>
        <w:bidi w:val="0"/>
        <w:rPr>
          <w:rFonts w:hint="eastAsia"/>
        </w:rPr>
      </w:pPr>
      <w:bookmarkStart w:id="63" w:name="_Toc8868"/>
      <w:r>
        <w:rPr>
          <w:rFonts w:hint="eastAsia"/>
          <w:lang w:val="zh-CN" w:eastAsia="zh-CN"/>
        </w:rPr>
        <w:t>（</w:t>
      </w:r>
      <w:r>
        <w:rPr>
          <w:rFonts w:hint="eastAsia"/>
          <w:lang w:val="en-US" w:eastAsia="zh-CN"/>
        </w:rPr>
        <w:t>4</w:t>
      </w:r>
      <w:r>
        <w:rPr>
          <w:rFonts w:hint="eastAsia"/>
          <w:lang w:val="zh-CN" w:eastAsia="zh-CN"/>
        </w:rPr>
        <w:t>）校外教学实习基地原则上应就地就近，保持相对稳定。</w:t>
      </w:r>
      <w:bookmarkEnd w:id="63"/>
    </w:p>
    <w:p>
      <w:pPr>
        <w:pStyle w:val="5"/>
        <w:bidi w:val="0"/>
        <w:rPr>
          <w:color w:val="auto"/>
        </w:rPr>
      </w:pPr>
      <w:bookmarkStart w:id="64" w:name="_Toc1219"/>
      <w:r>
        <w:rPr>
          <w:rFonts w:hint="eastAsia"/>
          <w:color w:val="auto"/>
        </w:rPr>
        <w:t>（三）教学资源</w:t>
      </w:r>
      <w:bookmarkEnd w:id="62"/>
      <w:bookmarkEnd w:id="64"/>
    </w:p>
    <w:p>
      <w:pPr>
        <w:bidi w:val="0"/>
        <w:ind w:firstLine="420" w:firstLineChars="200"/>
      </w:pPr>
      <w:r>
        <w:rPr>
          <w:rFonts w:hint="eastAsia"/>
        </w:rPr>
        <w:t xml:space="preserve">主要包括能够满足学生专业学习、教师专业教学研究和教学实施需要的教材、图书及数字化资源等。 </w:t>
      </w:r>
    </w:p>
    <w:p>
      <w:pPr>
        <w:pStyle w:val="6"/>
        <w:bidi w:val="0"/>
        <w:rPr>
          <w:color w:val="auto"/>
        </w:rPr>
      </w:pPr>
      <w:bookmarkStart w:id="65" w:name="_Toc5658"/>
      <w:bookmarkStart w:id="66" w:name="_Toc11287"/>
      <w:r>
        <w:rPr>
          <w:rFonts w:hint="eastAsia"/>
          <w:color w:val="auto"/>
        </w:rPr>
        <w:t>1、教材选用基本要求</w:t>
      </w:r>
      <w:bookmarkEnd w:id="65"/>
      <w:bookmarkEnd w:id="66"/>
      <w:r>
        <w:rPr>
          <w:rFonts w:hint="eastAsia"/>
          <w:color w:val="auto"/>
        </w:rPr>
        <w:t xml:space="preserve"> </w:t>
      </w:r>
    </w:p>
    <w:p>
      <w:pPr>
        <w:bidi w:val="0"/>
        <w:ind w:firstLine="420" w:firstLineChars="200"/>
        <w:rPr>
          <w:rFonts w:ascii="仿宋" w:hAnsi="仿宋" w:eastAsia="仿宋" w:cs="仿宋"/>
          <w:color w:val="auto"/>
          <w:szCs w:val="28"/>
        </w:rPr>
      </w:pPr>
      <w:r>
        <w:rPr>
          <w:rFonts w:hint="eastAsia"/>
        </w:rPr>
        <w:t>按照国家规定，经过规范程序，择优选用教材，原则上选用近三年高职高专规划教材。</w:t>
      </w:r>
    </w:p>
    <w:p>
      <w:pPr>
        <w:pStyle w:val="6"/>
        <w:bidi w:val="0"/>
        <w:rPr>
          <w:color w:val="auto"/>
        </w:rPr>
      </w:pPr>
      <w:bookmarkStart w:id="67" w:name="_Toc12726"/>
      <w:bookmarkStart w:id="68" w:name="_Toc19719"/>
      <w:r>
        <w:rPr>
          <w:rFonts w:hint="eastAsia"/>
          <w:color w:val="auto"/>
        </w:rPr>
        <w:t>2、图书文献配备基本要求</w:t>
      </w:r>
      <w:bookmarkEnd w:id="67"/>
      <w:bookmarkEnd w:id="68"/>
      <w:r>
        <w:rPr>
          <w:rFonts w:hint="eastAsia"/>
          <w:color w:val="auto"/>
        </w:rPr>
        <w:t xml:space="preserve"> </w:t>
      </w:r>
    </w:p>
    <w:p>
      <w:pPr>
        <w:bidi w:val="0"/>
        <w:ind w:firstLine="420" w:firstLineChars="200"/>
      </w:pPr>
      <w:r>
        <w:rPr>
          <w:rFonts w:hint="eastAsia"/>
        </w:rPr>
        <w:t xml:space="preserve">学校根据专业特点及需要配备相应的图书文献，图书文献配备能满足人才培养、专业建设、教科研等工作的需要，方便师生查询、借阅。专业类图书主要包括：有关养老企业管理、养老照护、老年活动与策划与老年心理护理等方面的最新理论、技术、方法、思维以及实务操作类图书和文献等。 </w:t>
      </w:r>
    </w:p>
    <w:p>
      <w:pPr>
        <w:pStyle w:val="6"/>
        <w:bidi w:val="0"/>
        <w:rPr>
          <w:color w:val="auto"/>
        </w:rPr>
      </w:pPr>
      <w:bookmarkStart w:id="69" w:name="_Toc28951"/>
      <w:bookmarkStart w:id="70" w:name="_Toc16374"/>
      <w:r>
        <w:rPr>
          <w:rFonts w:hint="eastAsia"/>
          <w:color w:val="auto"/>
        </w:rPr>
        <w:t>3、数字教学资源配置基本要求</w:t>
      </w:r>
      <w:bookmarkEnd w:id="69"/>
      <w:bookmarkEnd w:id="70"/>
      <w:r>
        <w:rPr>
          <w:rFonts w:hint="eastAsia"/>
          <w:color w:val="auto"/>
        </w:rPr>
        <w:t xml:space="preserve"> </w:t>
      </w:r>
    </w:p>
    <w:p>
      <w:pPr>
        <w:bidi w:val="0"/>
        <w:ind w:firstLine="420" w:firstLineChars="200"/>
        <w:rPr>
          <w:rFonts w:hint="eastAsia"/>
        </w:rPr>
      </w:pPr>
      <w:r>
        <w:rPr>
          <w:rFonts w:hint="eastAsia"/>
        </w:rPr>
        <w:t>建设</w:t>
      </w:r>
      <w:r>
        <w:rPr>
          <w:rFonts w:hint="eastAsia"/>
          <w:lang w:val="en-US" w:eastAsia="zh-CN"/>
        </w:rPr>
        <w:t>和</w:t>
      </w:r>
      <w:r>
        <w:rPr>
          <w:rFonts w:hint="eastAsia"/>
        </w:rPr>
        <w:t>配备与本专业有关的音视频素材、教学课件、数字化教学案例库、虚拟仿真软件、数字教材等专业教学资源库，动态更新、满足教学。使用智慧职教、蓝墨云、雨课堂等平台及精品资源共享课程平台等。</w:t>
      </w:r>
    </w:p>
    <w:p>
      <w:pPr>
        <w:pStyle w:val="5"/>
        <w:bidi w:val="0"/>
        <w:rPr>
          <w:color w:val="auto"/>
        </w:rPr>
      </w:pPr>
      <w:bookmarkStart w:id="71" w:name="_Toc16910"/>
      <w:bookmarkStart w:id="72" w:name="_Toc30735"/>
      <w:r>
        <w:rPr>
          <w:rFonts w:hint="eastAsia"/>
          <w:color w:val="auto"/>
        </w:rPr>
        <w:t>（四）教学方法</w:t>
      </w:r>
      <w:bookmarkEnd w:id="71"/>
      <w:bookmarkEnd w:id="72"/>
    </w:p>
    <w:p>
      <w:pPr>
        <w:bidi w:val="0"/>
        <w:ind w:firstLine="420" w:firstLineChars="200"/>
      </w:pPr>
      <w:r>
        <w:rPr>
          <w:rFonts w:hint="eastAsia"/>
        </w:rPr>
        <w:t>本专业课程根据教学内容和学生实际情况，针对不同的重点和难点内容采用不同的教学方法。主要采用案例教学法、项目教学法、任务驱动法、分组教学法、教学做一体化等教学方法。</w:t>
      </w:r>
    </w:p>
    <w:p>
      <w:pPr>
        <w:bidi w:val="0"/>
        <w:ind w:firstLine="420" w:firstLineChars="200"/>
      </w:pPr>
      <w:r>
        <w:rPr>
          <w:rFonts w:hint="eastAsia"/>
        </w:rPr>
        <w:t>在教学过程中，充分发挥现代化多媒体教学的功能，通过</w:t>
      </w:r>
      <w:r>
        <w:rPr>
          <w:rFonts w:hint="eastAsia"/>
          <w:lang w:val="en-US" w:eastAsia="zh-CN"/>
        </w:rPr>
        <w:t>AR、VR、虚拟仿真、</w:t>
      </w:r>
      <w:r>
        <w:rPr>
          <w:rFonts w:hint="eastAsia"/>
        </w:rPr>
        <w:t>影音、动画（三维或二维）、图片等讲授教学内容，运用现代信息化教育教学手段和企业资源，突破教学重难点。</w:t>
      </w:r>
    </w:p>
    <w:p>
      <w:pPr>
        <w:pStyle w:val="5"/>
        <w:bidi w:val="0"/>
        <w:rPr>
          <w:color w:val="auto"/>
        </w:rPr>
      </w:pPr>
      <w:bookmarkStart w:id="73" w:name="_Toc24732"/>
      <w:bookmarkStart w:id="74" w:name="_Toc22187"/>
      <w:r>
        <w:rPr>
          <w:rFonts w:hint="eastAsia"/>
          <w:color w:val="auto"/>
        </w:rPr>
        <w:t>（五）学习评价</w:t>
      </w:r>
      <w:bookmarkEnd w:id="73"/>
      <w:bookmarkEnd w:id="74"/>
    </w:p>
    <w:p>
      <w:pPr>
        <w:bidi w:val="0"/>
        <w:ind w:firstLine="420" w:firstLineChars="200"/>
      </w:pPr>
      <w:r>
        <w:rPr>
          <w:rFonts w:hint="eastAsia"/>
        </w:rPr>
        <w:t>根据培养目标要求，采用多元化考核评价，完善学生学习过程监测，加大过程考核、企业参与评价、实践技能考核成绩等在课程总成绩中的比例。</w:t>
      </w:r>
    </w:p>
    <w:p>
      <w:pPr>
        <w:pStyle w:val="5"/>
        <w:bidi w:val="0"/>
        <w:rPr>
          <w:color w:val="auto"/>
        </w:rPr>
      </w:pPr>
      <w:bookmarkStart w:id="75" w:name="_Toc27077"/>
      <w:bookmarkStart w:id="76" w:name="_Toc9177"/>
      <w:r>
        <w:rPr>
          <w:rFonts w:hint="eastAsia"/>
          <w:color w:val="auto"/>
        </w:rPr>
        <w:t>（六）质量管理</w:t>
      </w:r>
      <w:bookmarkEnd w:id="75"/>
      <w:bookmarkEnd w:id="76"/>
    </w:p>
    <w:p>
      <w:pPr>
        <w:bidi w:val="0"/>
        <w:ind w:firstLine="420" w:firstLineChars="200"/>
      </w:pPr>
      <w:r>
        <w:rPr>
          <w:rFonts w:hint="eastAsia"/>
        </w:rPr>
        <w:t>1、学校完善期初、期中、期末教学检查制度，系部加强日常教学组织运行与管理，形成教研室自查、系部普查和学校抽查的教学监督检查机制。充分发挥“学生评教”、“督导评教”和“同行互评”的作用，开展学校督导和系部督导巡课、听课等监督活动。</w:t>
      </w:r>
    </w:p>
    <w:p>
      <w:pPr>
        <w:bidi w:val="0"/>
        <w:ind w:firstLine="420" w:firstLineChars="200"/>
      </w:pPr>
      <w:r>
        <w:rPr>
          <w:rFonts w:hint="eastAsia"/>
        </w:rPr>
        <w:t>2、系部对生源情况、在校生学业水平、毕业生就业情况等进行分析，定期评价人才培养质量和培养目标达成情况。</w:t>
      </w:r>
    </w:p>
    <w:p>
      <w:pPr>
        <w:bidi w:val="0"/>
        <w:ind w:firstLine="420" w:firstLineChars="200"/>
      </w:pPr>
      <w:r>
        <w:rPr>
          <w:rFonts w:hint="eastAsia"/>
        </w:rPr>
        <w:t>3、专业教研室充分利用评价分析结果有效改进专业教学，持续提高人才培养质量。</w:t>
      </w:r>
    </w:p>
    <w:p>
      <w:pPr>
        <w:rPr>
          <w:color w:val="auto"/>
        </w:rPr>
      </w:pPr>
      <w:r>
        <w:rPr>
          <w:rFonts w:hint="eastAsia"/>
          <w:color w:val="auto"/>
        </w:rPr>
        <w:br w:type="page"/>
      </w:r>
    </w:p>
    <w:p>
      <w:pPr>
        <w:pStyle w:val="4"/>
        <w:numPr>
          <w:ilvl w:val="0"/>
          <w:numId w:val="4"/>
        </w:numPr>
        <w:bidi w:val="0"/>
        <w:rPr>
          <w:color w:val="auto"/>
        </w:rPr>
      </w:pPr>
      <w:bookmarkStart w:id="77" w:name="_Toc5193"/>
      <w:bookmarkStart w:id="78" w:name="_Toc18477"/>
      <w:r>
        <w:rPr>
          <w:rFonts w:hint="eastAsia"/>
          <w:color w:val="auto"/>
        </w:rPr>
        <w:t>毕业要求</w:t>
      </w:r>
      <w:bookmarkEnd w:id="77"/>
      <w:bookmarkEnd w:id="78"/>
    </w:p>
    <w:p>
      <w:pPr>
        <w:adjustRightInd w:val="0"/>
        <w:snapToGrid w:val="0"/>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1、按培养方案修完所有必修和选修课程并取得相应学分。</w:t>
      </w:r>
    </w:p>
    <w:p>
      <w:pPr>
        <w:pStyle w:val="7"/>
        <w:bidi w:val="0"/>
        <w:rPr>
          <w:color w:val="auto"/>
        </w:rPr>
      </w:pPr>
      <w:bookmarkStart w:id="79" w:name="_Toc28874"/>
      <w:r>
        <w:rPr>
          <w:rFonts w:hint="eastAsia"/>
          <w:color w:val="auto"/>
          <w:lang w:val="en-US"/>
        </w:rPr>
        <w:t>表1</w:t>
      </w:r>
      <w:r>
        <w:rPr>
          <w:rFonts w:hint="eastAsia"/>
          <w:color w:val="auto"/>
          <w:lang w:val="en-US" w:eastAsia="zh-CN"/>
        </w:rPr>
        <w:t>1</w:t>
      </w:r>
      <w:r>
        <w:rPr>
          <w:rFonts w:hint="eastAsia"/>
          <w:color w:val="auto"/>
          <w:lang w:val="en-US"/>
        </w:rPr>
        <w:t xml:space="preserve"> </w:t>
      </w:r>
      <w:r>
        <w:rPr>
          <w:rFonts w:hint="eastAsia"/>
          <w:color w:val="auto"/>
          <w:lang w:val="en-US" w:eastAsia="zh-CN"/>
        </w:rPr>
        <w:t>毕业</w:t>
      </w:r>
      <w:r>
        <w:rPr>
          <w:rFonts w:hint="eastAsia"/>
          <w:color w:val="auto"/>
        </w:rPr>
        <w:t>应修学分</w:t>
      </w:r>
      <w:bookmarkEnd w:id="79"/>
    </w:p>
    <w:tbl>
      <w:tblPr>
        <w:tblStyle w:val="16"/>
        <w:tblW w:w="9693" w:type="dxa"/>
        <w:jc w:val="center"/>
        <w:shd w:val="clear" w:color="auto" w:fill="auto"/>
        <w:tblLayout w:type="fixed"/>
        <w:tblCellMar>
          <w:top w:w="0" w:type="dxa"/>
          <w:left w:w="0" w:type="dxa"/>
          <w:bottom w:w="0" w:type="dxa"/>
          <w:right w:w="0" w:type="dxa"/>
        </w:tblCellMar>
      </w:tblPr>
      <w:tblGrid>
        <w:gridCol w:w="3787"/>
        <w:gridCol w:w="2112"/>
        <w:gridCol w:w="3794"/>
      </w:tblGrid>
      <w:tr>
        <w:tblPrEx>
          <w:tblCellMar>
            <w:top w:w="0" w:type="dxa"/>
            <w:left w:w="0" w:type="dxa"/>
            <w:bottom w:w="0" w:type="dxa"/>
            <w:right w:w="0" w:type="dxa"/>
          </w:tblCellMar>
        </w:tblPrEx>
        <w:trPr>
          <w:trHeight w:val="270" w:hRule="atLeast"/>
          <w:jc w:val="center"/>
        </w:trPr>
        <w:tc>
          <w:tcPr>
            <w:tcW w:w="37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课程类别</w:t>
            </w:r>
          </w:p>
        </w:tc>
        <w:tc>
          <w:tcPr>
            <w:tcW w:w="21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门数</w:t>
            </w:r>
          </w:p>
        </w:tc>
        <w:tc>
          <w:tcPr>
            <w:tcW w:w="3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学分</w:t>
            </w:r>
          </w:p>
        </w:tc>
      </w:tr>
      <w:tr>
        <w:tblPrEx>
          <w:shd w:val="clear" w:color="auto" w:fill="auto"/>
          <w:tblCellMar>
            <w:top w:w="0" w:type="dxa"/>
            <w:left w:w="0" w:type="dxa"/>
            <w:bottom w:w="0" w:type="dxa"/>
            <w:right w:w="0" w:type="dxa"/>
          </w:tblCellMar>
        </w:tblPrEx>
        <w:trPr>
          <w:trHeight w:val="270" w:hRule="atLeast"/>
          <w:jc w:val="center"/>
        </w:trPr>
        <w:tc>
          <w:tcPr>
            <w:tcW w:w="37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3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312" w:hRule="atLeast"/>
          <w:jc w:val="center"/>
        </w:trPr>
        <w:tc>
          <w:tcPr>
            <w:tcW w:w="37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21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c>
          <w:tcPr>
            <w:tcW w:w="3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auto"/>
                <w:sz w:val="18"/>
                <w:szCs w:val="18"/>
                <w:u w:val="none"/>
              </w:rPr>
            </w:pPr>
          </w:p>
        </w:tc>
      </w:tr>
      <w:tr>
        <w:tblPrEx>
          <w:shd w:val="clear" w:color="auto" w:fill="auto"/>
          <w:tblCellMar>
            <w:top w:w="0" w:type="dxa"/>
            <w:left w:w="0" w:type="dxa"/>
            <w:bottom w:w="0" w:type="dxa"/>
            <w:right w:w="0" w:type="dxa"/>
          </w:tblCellMar>
        </w:tblPrEx>
        <w:trPr>
          <w:trHeight w:val="285" w:hRule="atLeast"/>
          <w:jc w:val="center"/>
        </w:trPr>
        <w:tc>
          <w:tcPr>
            <w:tcW w:w="37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公共基础课</w:t>
            </w:r>
          </w:p>
        </w:tc>
        <w:tc>
          <w:tcPr>
            <w:tcW w:w="21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17</w:t>
            </w:r>
          </w:p>
        </w:tc>
        <w:tc>
          <w:tcPr>
            <w:tcW w:w="37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39</w:t>
            </w:r>
          </w:p>
        </w:tc>
      </w:tr>
      <w:tr>
        <w:tblPrEx>
          <w:shd w:val="clear" w:color="auto" w:fill="auto"/>
          <w:tblCellMar>
            <w:top w:w="0" w:type="dxa"/>
            <w:left w:w="0" w:type="dxa"/>
            <w:bottom w:w="0" w:type="dxa"/>
            <w:right w:w="0" w:type="dxa"/>
          </w:tblCellMar>
        </w:tblPrEx>
        <w:trPr>
          <w:trHeight w:val="285" w:hRule="atLeast"/>
          <w:jc w:val="center"/>
        </w:trPr>
        <w:tc>
          <w:tcPr>
            <w:tcW w:w="37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专业基础课</w:t>
            </w:r>
          </w:p>
        </w:tc>
        <w:tc>
          <w:tcPr>
            <w:tcW w:w="21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37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14</w:t>
            </w:r>
          </w:p>
        </w:tc>
      </w:tr>
      <w:tr>
        <w:tblPrEx>
          <w:shd w:val="clear" w:color="auto" w:fill="auto"/>
          <w:tblCellMar>
            <w:top w:w="0" w:type="dxa"/>
            <w:left w:w="0" w:type="dxa"/>
            <w:bottom w:w="0" w:type="dxa"/>
            <w:right w:w="0" w:type="dxa"/>
          </w:tblCellMar>
        </w:tblPrEx>
        <w:trPr>
          <w:trHeight w:val="285" w:hRule="atLeast"/>
          <w:jc w:val="center"/>
        </w:trPr>
        <w:tc>
          <w:tcPr>
            <w:tcW w:w="37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专业核心课</w:t>
            </w:r>
          </w:p>
        </w:tc>
        <w:tc>
          <w:tcPr>
            <w:tcW w:w="21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37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30</w:t>
            </w:r>
          </w:p>
        </w:tc>
      </w:tr>
      <w:tr>
        <w:tblPrEx>
          <w:shd w:val="clear" w:color="auto" w:fill="auto"/>
          <w:tblCellMar>
            <w:top w:w="0" w:type="dxa"/>
            <w:left w:w="0" w:type="dxa"/>
            <w:bottom w:w="0" w:type="dxa"/>
            <w:right w:w="0" w:type="dxa"/>
          </w:tblCellMar>
        </w:tblPrEx>
        <w:trPr>
          <w:trHeight w:val="285" w:hRule="atLeast"/>
          <w:jc w:val="center"/>
        </w:trPr>
        <w:tc>
          <w:tcPr>
            <w:tcW w:w="3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专业拓展课</w:t>
            </w:r>
          </w:p>
        </w:tc>
        <w:tc>
          <w:tcPr>
            <w:tcW w:w="21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37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w:t>
            </w:r>
          </w:p>
        </w:tc>
      </w:tr>
      <w:tr>
        <w:tblPrEx>
          <w:tblCellMar>
            <w:top w:w="0" w:type="dxa"/>
            <w:left w:w="0" w:type="dxa"/>
            <w:bottom w:w="0" w:type="dxa"/>
            <w:right w:w="0" w:type="dxa"/>
          </w:tblCellMar>
        </w:tblPrEx>
        <w:trPr>
          <w:trHeight w:val="285" w:hRule="atLeast"/>
          <w:jc w:val="center"/>
        </w:trPr>
        <w:tc>
          <w:tcPr>
            <w:tcW w:w="37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公共实践课</w:t>
            </w:r>
          </w:p>
        </w:tc>
        <w:tc>
          <w:tcPr>
            <w:tcW w:w="21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7</w:t>
            </w:r>
          </w:p>
        </w:tc>
        <w:tc>
          <w:tcPr>
            <w:tcW w:w="37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25</w:t>
            </w:r>
          </w:p>
        </w:tc>
      </w:tr>
      <w:tr>
        <w:tblPrEx>
          <w:tblCellMar>
            <w:top w:w="0" w:type="dxa"/>
            <w:left w:w="0" w:type="dxa"/>
            <w:bottom w:w="0" w:type="dxa"/>
            <w:right w:w="0" w:type="dxa"/>
          </w:tblCellMar>
        </w:tblPrEx>
        <w:trPr>
          <w:trHeight w:val="285" w:hRule="atLeast"/>
          <w:jc w:val="center"/>
        </w:trPr>
        <w:tc>
          <w:tcPr>
            <w:tcW w:w="37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专业实践课</w:t>
            </w:r>
          </w:p>
        </w:tc>
        <w:tc>
          <w:tcPr>
            <w:tcW w:w="21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37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18</w:t>
            </w:r>
          </w:p>
        </w:tc>
      </w:tr>
      <w:tr>
        <w:tblPrEx>
          <w:shd w:val="clear" w:color="auto" w:fill="auto"/>
          <w:tblCellMar>
            <w:top w:w="0" w:type="dxa"/>
            <w:left w:w="0" w:type="dxa"/>
            <w:bottom w:w="0" w:type="dxa"/>
            <w:right w:w="0" w:type="dxa"/>
          </w:tblCellMar>
        </w:tblPrEx>
        <w:trPr>
          <w:trHeight w:val="285" w:hRule="atLeast"/>
          <w:jc w:val="center"/>
        </w:trPr>
        <w:tc>
          <w:tcPr>
            <w:tcW w:w="37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选修课</w:t>
            </w:r>
          </w:p>
        </w:tc>
        <w:tc>
          <w:tcPr>
            <w:tcW w:w="21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lang w:val="en-US" w:eastAsia="zh-CN"/>
              </w:rPr>
            </w:pPr>
            <w:r>
              <w:rPr>
                <w:rFonts w:hint="eastAsia" w:ascii="宋体" w:hAnsi="宋体" w:eastAsia="宋体" w:cs="宋体"/>
                <w:i w:val="0"/>
                <w:color w:val="auto"/>
                <w:sz w:val="18"/>
                <w:szCs w:val="18"/>
                <w:u w:val="none"/>
                <w:lang w:val="en-US" w:eastAsia="zh-CN"/>
              </w:rPr>
              <w:t>9</w:t>
            </w:r>
          </w:p>
        </w:tc>
        <w:tc>
          <w:tcPr>
            <w:tcW w:w="37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15</w:t>
            </w:r>
          </w:p>
        </w:tc>
      </w:tr>
      <w:tr>
        <w:tblPrEx>
          <w:tblCellMar>
            <w:top w:w="0" w:type="dxa"/>
            <w:left w:w="0" w:type="dxa"/>
            <w:bottom w:w="0" w:type="dxa"/>
            <w:right w:w="0" w:type="dxa"/>
          </w:tblCellMar>
        </w:tblPrEx>
        <w:trPr>
          <w:trHeight w:val="285" w:hRule="atLeast"/>
          <w:jc w:val="center"/>
        </w:trPr>
        <w:tc>
          <w:tcPr>
            <w:tcW w:w="37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总计</w:t>
            </w:r>
          </w:p>
        </w:tc>
        <w:tc>
          <w:tcPr>
            <w:tcW w:w="21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lang w:val="en-US" w:eastAsia="zh-CN"/>
              </w:rPr>
            </w:pPr>
            <w:r>
              <w:rPr>
                <w:rFonts w:hint="eastAsia" w:ascii="宋体" w:hAnsi="宋体" w:eastAsia="宋体" w:cs="宋体"/>
                <w:i w:val="0"/>
                <w:color w:val="auto"/>
                <w:sz w:val="18"/>
                <w:szCs w:val="18"/>
                <w:u w:val="none"/>
                <w:lang w:val="en-US" w:eastAsia="zh-CN"/>
              </w:rPr>
              <w:t>63</w:t>
            </w:r>
          </w:p>
        </w:tc>
        <w:tc>
          <w:tcPr>
            <w:tcW w:w="37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153</w:t>
            </w:r>
          </w:p>
        </w:tc>
      </w:tr>
    </w:tbl>
    <w:p>
      <w:pPr>
        <w:adjustRightInd w:val="0"/>
        <w:snapToGrid w:val="0"/>
        <w:spacing w:line="500" w:lineRule="exact"/>
        <w:ind w:firstLine="560" w:firstLineChars="200"/>
        <w:rPr>
          <w:rFonts w:hint="eastAsia" w:ascii="黑体" w:hAnsi="黑体" w:eastAsia="黑体" w:cs="黑体"/>
          <w:color w:val="auto"/>
        </w:rPr>
      </w:pPr>
      <w:r>
        <w:rPr>
          <w:rFonts w:hint="eastAsia" w:ascii="仿宋" w:hAnsi="仿宋" w:eastAsia="仿宋" w:cs="仿宋"/>
          <w:color w:val="auto"/>
          <w:sz w:val="28"/>
          <w:szCs w:val="28"/>
        </w:rPr>
        <w:t>2、取得</w:t>
      </w:r>
      <w:r>
        <w:rPr>
          <w:rFonts w:hint="eastAsia" w:ascii="仿宋" w:hAnsi="仿宋" w:eastAsia="仿宋" w:cs="仿宋"/>
          <w:color w:val="auto"/>
          <w:sz w:val="28"/>
          <w:szCs w:val="28"/>
          <w:lang w:val="en-US" w:eastAsia="zh-CN"/>
        </w:rPr>
        <w:t>毕业证和</w:t>
      </w:r>
      <w:r>
        <w:rPr>
          <w:rFonts w:hint="eastAsia" w:ascii="仿宋" w:hAnsi="仿宋" w:eastAsia="仿宋" w:cs="仿宋"/>
          <w:color w:val="auto"/>
          <w:sz w:val="28"/>
          <w:szCs w:val="28"/>
        </w:rPr>
        <w:t>相应国家职业资格证书和职业能力等级证书，学生在校期间每取得一个证书可抵选修课学分2分。</w:t>
      </w:r>
    </w:p>
    <w:p>
      <w:pPr>
        <w:pStyle w:val="7"/>
        <w:bidi w:val="0"/>
        <w:rPr>
          <w:color w:val="auto"/>
        </w:rPr>
      </w:pPr>
      <w:bookmarkStart w:id="80" w:name="_Toc19093"/>
      <w:r>
        <w:rPr>
          <w:rFonts w:hint="eastAsia"/>
          <w:color w:val="auto"/>
        </w:rPr>
        <w:t>表</w:t>
      </w:r>
      <w:r>
        <w:rPr>
          <w:rFonts w:hint="eastAsia"/>
          <w:color w:val="auto"/>
          <w:lang w:val="en-US"/>
        </w:rPr>
        <w:t>1</w:t>
      </w:r>
      <w:r>
        <w:rPr>
          <w:rFonts w:hint="eastAsia"/>
          <w:color w:val="auto"/>
          <w:lang w:val="en-US" w:eastAsia="zh-CN"/>
        </w:rPr>
        <w:t>2</w:t>
      </w:r>
      <w:r>
        <w:rPr>
          <w:rFonts w:hint="eastAsia"/>
          <w:color w:val="auto"/>
        </w:rPr>
        <w:t xml:space="preserve"> </w:t>
      </w:r>
      <w:r>
        <w:rPr>
          <w:rFonts w:hint="eastAsia"/>
          <w:color w:val="auto"/>
          <w:lang w:eastAsia="zh-CN"/>
        </w:rPr>
        <w:t>智慧健康养老服务与管理专业</w:t>
      </w:r>
      <w:r>
        <w:rPr>
          <w:rFonts w:hint="eastAsia"/>
          <w:color w:val="auto"/>
          <w:lang w:val="en-US"/>
        </w:rPr>
        <w:t>“1+X”证书</w:t>
      </w:r>
      <w:r>
        <w:rPr>
          <w:rFonts w:hint="eastAsia"/>
          <w:color w:val="auto"/>
        </w:rPr>
        <w:t>表</w:t>
      </w:r>
      <w:bookmarkEnd w:id="80"/>
    </w:p>
    <w:tbl>
      <w:tblPr>
        <w:tblStyle w:val="17"/>
        <w:tblpPr w:leftFromText="180" w:rightFromText="180" w:vertAnchor="text" w:horzAnchor="page" w:tblpXSpec="center" w:tblpY="17"/>
        <w:tblOverlap w:val="never"/>
        <w:tblW w:w="9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
        <w:gridCol w:w="2294"/>
        <w:gridCol w:w="2701"/>
        <w:gridCol w:w="1104"/>
        <w:gridCol w:w="1114"/>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9676" w:type="dxa"/>
            <w:gridSpan w:val="6"/>
            <w:vAlign w:val="center"/>
          </w:tcPr>
          <w:p>
            <w:pPr>
              <w:spacing w:line="240" w:lineRule="auto"/>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应取得的证书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606" w:type="dxa"/>
            <w:vAlign w:val="center"/>
          </w:tcPr>
          <w:p>
            <w:pPr>
              <w:spacing w:line="240" w:lineRule="auto"/>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序号</w:t>
            </w:r>
          </w:p>
        </w:tc>
        <w:tc>
          <w:tcPr>
            <w:tcW w:w="2294" w:type="dxa"/>
            <w:vAlign w:val="center"/>
          </w:tcPr>
          <w:p>
            <w:pPr>
              <w:spacing w:line="240" w:lineRule="auto"/>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证书名称</w:t>
            </w:r>
          </w:p>
        </w:tc>
        <w:tc>
          <w:tcPr>
            <w:tcW w:w="2701" w:type="dxa"/>
            <w:vAlign w:val="center"/>
          </w:tcPr>
          <w:p>
            <w:pPr>
              <w:spacing w:line="240" w:lineRule="auto"/>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发证机构</w:t>
            </w:r>
          </w:p>
        </w:tc>
        <w:tc>
          <w:tcPr>
            <w:tcW w:w="1104" w:type="dxa"/>
            <w:vAlign w:val="center"/>
          </w:tcPr>
          <w:p>
            <w:pPr>
              <w:spacing w:line="240" w:lineRule="auto"/>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等级</w:t>
            </w:r>
          </w:p>
        </w:tc>
        <w:tc>
          <w:tcPr>
            <w:tcW w:w="1114" w:type="dxa"/>
            <w:vAlign w:val="center"/>
          </w:tcPr>
          <w:p>
            <w:pPr>
              <w:spacing w:line="240" w:lineRule="auto"/>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证书类型</w:t>
            </w:r>
          </w:p>
        </w:tc>
        <w:tc>
          <w:tcPr>
            <w:tcW w:w="1857" w:type="dxa"/>
            <w:vAlign w:val="center"/>
          </w:tcPr>
          <w:p>
            <w:pPr>
              <w:spacing w:line="240" w:lineRule="auto"/>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报考条件或时间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606"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2294"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毕业证</w:t>
            </w:r>
          </w:p>
        </w:tc>
        <w:tc>
          <w:tcPr>
            <w:tcW w:w="2701" w:type="dxa"/>
            <w:vAlign w:val="center"/>
          </w:tcPr>
          <w:p>
            <w:pPr>
              <w:spacing w:line="240" w:lineRule="auto"/>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西昌民族幼儿</w:t>
            </w:r>
          </w:p>
          <w:p>
            <w:pPr>
              <w:spacing w:line="240" w:lineRule="auto"/>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师范高等专科学校</w:t>
            </w:r>
          </w:p>
        </w:tc>
        <w:tc>
          <w:tcPr>
            <w:tcW w:w="1104" w:type="dxa"/>
            <w:vAlign w:val="center"/>
          </w:tcPr>
          <w:p>
            <w:pPr>
              <w:spacing w:line="240" w:lineRule="auto"/>
              <w:jc w:val="center"/>
              <w:rPr>
                <w:rFonts w:hint="eastAsia" w:ascii="宋体" w:hAnsi="宋体" w:eastAsia="宋体" w:cs="宋体"/>
                <w:color w:val="auto"/>
                <w:sz w:val="18"/>
                <w:szCs w:val="18"/>
              </w:rPr>
            </w:pPr>
          </w:p>
        </w:tc>
        <w:tc>
          <w:tcPr>
            <w:tcW w:w="1114"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必修</w:t>
            </w:r>
          </w:p>
        </w:tc>
        <w:tc>
          <w:tcPr>
            <w:tcW w:w="1857" w:type="dxa"/>
            <w:vAlign w:val="center"/>
          </w:tcPr>
          <w:p>
            <w:pPr>
              <w:spacing w:line="240" w:lineRule="auto"/>
              <w:jc w:val="center"/>
              <w:rPr>
                <w:rFonts w:hint="eastAsia"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06"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2294"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普通话等级证书</w:t>
            </w:r>
          </w:p>
        </w:tc>
        <w:tc>
          <w:tcPr>
            <w:tcW w:w="2701"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国家语言工作委员会</w:t>
            </w:r>
          </w:p>
        </w:tc>
        <w:tc>
          <w:tcPr>
            <w:tcW w:w="1104"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二级乙等</w:t>
            </w:r>
          </w:p>
        </w:tc>
        <w:tc>
          <w:tcPr>
            <w:tcW w:w="1114"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可选</w:t>
            </w:r>
          </w:p>
        </w:tc>
        <w:tc>
          <w:tcPr>
            <w:tcW w:w="1857"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大一、大二、大三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606"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2294"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养老护理员</w:t>
            </w:r>
          </w:p>
        </w:tc>
        <w:tc>
          <w:tcPr>
            <w:tcW w:w="2701"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人力资源和社会保障局</w:t>
            </w:r>
          </w:p>
        </w:tc>
        <w:tc>
          <w:tcPr>
            <w:tcW w:w="1104"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中级</w:t>
            </w:r>
          </w:p>
        </w:tc>
        <w:tc>
          <w:tcPr>
            <w:tcW w:w="1114"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可选</w:t>
            </w:r>
          </w:p>
        </w:tc>
        <w:tc>
          <w:tcPr>
            <w:tcW w:w="1857"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大三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606"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4</w:t>
            </w:r>
          </w:p>
        </w:tc>
        <w:tc>
          <w:tcPr>
            <w:tcW w:w="2294"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老年人能力评估师</w:t>
            </w:r>
          </w:p>
        </w:tc>
        <w:tc>
          <w:tcPr>
            <w:tcW w:w="2701"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fldChar w:fldCharType="begin"/>
            </w:r>
            <w:r>
              <w:rPr>
                <w:rFonts w:hint="eastAsia" w:ascii="宋体" w:hAnsi="宋体" w:eastAsia="宋体" w:cs="宋体"/>
                <w:color w:val="auto"/>
                <w:sz w:val="18"/>
                <w:szCs w:val="18"/>
              </w:rPr>
              <w:instrText xml:space="preserve"> HYPERLINK "https://baike.baidu.com/item/%E4%B8%AD%E5%9B%BD%E7%AE%A1%E7%90%86%E7%A7%91%E5%AD%A6%E7%A0%94%E7%A9%B6%E9%99%A2%E6%95%99%E8%82%B2%E6%A0%87%E5%87%86%E5%8C%96%E7%A0%94%E7%A9%B6%E6%89%80/54892617" \t "https://baike.baidu.com/item/%E8%80%81%E5%B9%B4%E4%BA%BA%E8%83%BD%E5%8A%9B%E8%AF%84%E4%BC%B0%E5%B8%88/_blank" </w:instrText>
            </w:r>
            <w:r>
              <w:rPr>
                <w:rFonts w:hint="eastAsia" w:ascii="宋体" w:hAnsi="宋体" w:eastAsia="宋体" w:cs="宋体"/>
                <w:color w:val="auto"/>
                <w:sz w:val="18"/>
                <w:szCs w:val="18"/>
              </w:rPr>
              <w:fldChar w:fldCharType="separate"/>
            </w:r>
            <w:r>
              <w:rPr>
                <w:rFonts w:hint="eastAsia" w:ascii="宋体" w:hAnsi="宋体" w:eastAsia="宋体" w:cs="宋体"/>
                <w:color w:val="auto"/>
                <w:sz w:val="18"/>
                <w:szCs w:val="18"/>
              </w:rPr>
              <w:t>中国管理科学研究院</w:t>
            </w:r>
          </w:p>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教育标准化研究所</w:t>
            </w:r>
            <w:r>
              <w:rPr>
                <w:rFonts w:hint="eastAsia" w:ascii="宋体" w:hAnsi="宋体" w:eastAsia="宋体" w:cs="宋体"/>
                <w:color w:val="auto"/>
                <w:sz w:val="18"/>
                <w:szCs w:val="18"/>
              </w:rPr>
              <w:fldChar w:fldCharType="end"/>
            </w:r>
          </w:p>
        </w:tc>
        <w:tc>
          <w:tcPr>
            <w:tcW w:w="1104"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初级</w:t>
            </w:r>
          </w:p>
        </w:tc>
        <w:tc>
          <w:tcPr>
            <w:tcW w:w="1114"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可选</w:t>
            </w:r>
          </w:p>
        </w:tc>
        <w:tc>
          <w:tcPr>
            <w:tcW w:w="1857"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大二、大三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606"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5</w:t>
            </w:r>
          </w:p>
        </w:tc>
        <w:tc>
          <w:tcPr>
            <w:tcW w:w="2294"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失智老年人照护</w:t>
            </w:r>
          </w:p>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职业技能等级证书</w:t>
            </w:r>
          </w:p>
        </w:tc>
        <w:tc>
          <w:tcPr>
            <w:tcW w:w="2701"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北京中民福祉教育</w:t>
            </w:r>
          </w:p>
          <w:p>
            <w:pPr>
              <w:spacing w:line="240" w:lineRule="auto"/>
              <w:jc w:val="center"/>
              <w:rPr>
                <w:rFonts w:hint="eastAsia" w:ascii="宋体" w:hAnsi="宋体" w:eastAsia="宋体" w:cs="宋体"/>
                <w:color w:val="auto"/>
                <w:sz w:val="18"/>
                <w:szCs w:val="18"/>
                <w:highlight w:val="yellow"/>
              </w:rPr>
            </w:pPr>
            <w:r>
              <w:rPr>
                <w:rFonts w:hint="eastAsia" w:ascii="宋体" w:hAnsi="宋体" w:eastAsia="宋体" w:cs="宋体"/>
                <w:color w:val="auto"/>
                <w:sz w:val="18"/>
                <w:szCs w:val="18"/>
              </w:rPr>
              <w:t>科技有限责任公司</w:t>
            </w:r>
          </w:p>
        </w:tc>
        <w:tc>
          <w:tcPr>
            <w:tcW w:w="1104"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中级</w:t>
            </w:r>
          </w:p>
        </w:tc>
        <w:tc>
          <w:tcPr>
            <w:tcW w:w="1114"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可选</w:t>
            </w:r>
          </w:p>
        </w:tc>
        <w:tc>
          <w:tcPr>
            <w:tcW w:w="1857"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大二、大三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606"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6</w:t>
            </w:r>
          </w:p>
        </w:tc>
        <w:tc>
          <w:tcPr>
            <w:tcW w:w="2294" w:type="dxa"/>
            <w:vAlign w:val="center"/>
          </w:tcPr>
          <w:p>
            <w:pPr>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老年照护职业</w:t>
            </w:r>
          </w:p>
          <w:p>
            <w:pPr>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技能等级证书</w:t>
            </w:r>
          </w:p>
        </w:tc>
        <w:tc>
          <w:tcPr>
            <w:tcW w:w="2701" w:type="dxa"/>
            <w:vAlign w:val="center"/>
          </w:tcPr>
          <w:p>
            <w:pPr>
              <w:spacing w:line="240" w:lineRule="auto"/>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北京中福长者文</w:t>
            </w:r>
          </w:p>
          <w:p>
            <w:pPr>
              <w:spacing w:line="240" w:lineRule="auto"/>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化科技有限公司</w:t>
            </w:r>
          </w:p>
        </w:tc>
        <w:tc>
          <w:tcPr>
            <w:tcW w:w="1104"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中级</w:t>
            </w:r>
          </w:p>
        </w:tc>
        <w:tc>
          <w:tcPr>
            <w:tcW w:w="1114"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可选</w:t>
            </w:r>
          </w:p>
        </w:tc>
        <w:tc>
          <w:tcPr>
            <w:tcW w:w="1857"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大二、大三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606" w:type="dxa"/>
            <w:vAlign w:val="center"/>
          </w:tcPr>
          <w:p>
            <w:pPr>
              <w:spacing w:line="240" w:lineRule="auto"/>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7</w:t>
            </w:r>
          </w:p>
        </w:tc>
        <w:tc>
          <w:tcPr>
            <w:tcW w:w="2294" w:type="dxa"/>
            <w:vAlign w:val="center"/>
          </w:tcPr>
          <w:p>
            <w:pPr>
              <w:spacing w:line="240" w:lineRule="auto"/>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老年康体指导</w:t>
            </w:r>
          </w:p>
          <w:p>
            <w:pPr>
              <w:spacing w:line="240" w:lineRule="auto"/>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职业技能等级证书</w:t>
            </w:r>
          </w:p>
        </w:tc>
        <w:tc>
          <w:tcPr>
            <w:tcW w:w="2701" w:type="dxa"/>
            <w:vAlign w:val="center"/>
          </w:tcPr>
          <w:p>
            <w:pPr>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北京中民福祉教育</w:t>
            </w:r>
          </w:p>
          <w:p>
            <w:pPr>
              <w:spacing w:line="240" w:lineRule="auto"/>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科技有限责任公司</w:t>
            </w:r>
          </w:p>
        </w:tc>
        <w:tc>
          <w:tcPr>
            <w:tcW w:w="1104"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中级</w:t>
            </w:r>
          </w:p>
        </w:tc>
        <w:tc>
          <w:tcPr>
            <w:tcW w:w="1114"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可选</w:t>
            </w:r>
          </w:p>
        </w:tc>
        <w:tc>
          <w:tcPr>
            <w:tcW w:w="1857"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大二、大三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606" w:type="dxa"/>
            <w:vAlign w:val="center"/>
          </w:tcPr>
          <w:p>
            <w:pPr>
              <w:spacing w:line="240" w:lineRule="auto"/>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8</w:t>
            </w:r>
          </w:p>
        </w:tc>
        <w:tc>
          <w:tcPr>
            <w:tcW w:w="2294" w:type="dxa"/>
            <w:vAlign w:val="center"/>
          </w:tcPr>
          <w:p>
            <w:pPr>
              <w:spacing w:line="240" w:lineRule="auto"/>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老年护理服务需求评估职业技能等级证书</w:t>
            </w:r>
          </w:p>
        </w:tc>
        <w:tc>
          <w:tcPr>
            <w:tcW w:w="2701" w:type="dxa"/>
            <w:vAlign w:val="center"/>
          </w:tcPr>
          <w:p>
            <w:pPr>
              <w:spacing w:line="240" w:lineRule="auto"/>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中国光大实业</w:t>
            </w:r>
          </w:p>
          <w:p>
            <w:pPr>
              <w:spacing w:line="240" w:lineRule="auto"/>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集团有限责任公司</w:t>
            </w:r>
          </w:p>
        </w:tc>
        <w:tc>
          <w:tcPr>
            <w:tcW w:w="1104"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中级</w:t>
            </w:r>
          </w:p>
        </w:tc>
        <w:tc>
          <w:tcPr>
            <w:tcW w:w="1114"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可选</w:t>
            </w:r>
          </w:p>
        </w:tc>
        <w:tc>
          <w:tcPr>
            <w:tcW w:w="1857" w:type="dxa"/>
            <w:vAlign w:val="center"/>
          </w:tcPr>
          <w:p>
            <w:pPr>
              <w:spacing w:line="240" w:lineRule="auto"/>
              <w:jc w:val="center"/>
              <w:rPr>
                <w:rFonts w:hint="eastAsia" w:ascii="宋体" w:hAnsi="宋体" w:eastAsia="宋体" w:cs="宋体"/>
                <w:color w:val="auto"/>
                <w:sz w:val="18"/>
                <w:szCs w:val="18"/>
              </w:rPr>
            </w:pPr>
            <w:r>
              <w:rPr>
                <w:rFonts w:hint="eastAsia" w:ascii="宋体" w:hAnsi="宋体" w:eastAsia="宋体" w:cs="宋体"/>
                <w:color w:val="auto"/>
                <w:sz w:val="18"/>
                <w:szCs w:val="18"/>
              </w:rPr>
              <w:t>大二、大三</w:t>
            </w:r>
          </w:p>
        </w:tc>
      </w:tr>
    </w:tbl>
    <w:p>
      <w:pPr>
        <w:pStyle w:val="2"/>
        <w:spacing w:line="240" w:lineRule="auto"/>
        <w:ind w:firstLine="0" w:firstLineChars="0"/>
        <w:rPr>
          <w:rFonts w:asciiTheme="minorEastAsia" w:hAnsiTheme="minorEastAsia"/>
          <w:b/>
          <w:color w:val="auto"/>
          <w:szCs w:val="24"/>
        </w:rPr>
      </w:pPr>
    </w:p>
    <w:p>
      <w:pPr>
        <w:pStyle w:val="2"/>
        <w:spacing w:line="240" w:lineRule="auto"/>
        <w:ind w:firstLine="482"/>
        <w:rPr>
          <w:rFonts w:asciiTheme="minorEastAsia" w:hAnsiTheme="minorEastAsia"/>
          <w:b/>
          <w:color w:val="auto"/>
          <w:szCs w:val="24"/>
        </w:rPr>
      </w:pPr>
    </w:p>
    <w:sectPr>
      <w:headerReference r:id="rId9" w:type="default"/>
      <w:footerReference r:id="rId10" w:type="default"/>
      <w:pgSz w:w="11911" w:h="16838"/>
      <w:pgMar w:top="1440" w:right="1800" w:bottom="1440" w:left="1800" w:header="0" w:footer="658" w:gutter="0"/>
      <w:pgNumType w:fmt="decimal"/>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altName w:val="微软雅黑"/>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8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altName w:val="仿宋_GB2312"/>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val="en-US" w:eastAsia="zh-CN"/>
                            </w:rPr>
                            <w:t>20</w:t>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PQ64M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6Z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PQ64MtAgAAVwQAAA4AAAAAAAAAAQAgAAAAHwEAAGRycy9lMm9Eb2MueG1sUEsFBgAAAAAG&#10;AAYAWQEAAL4FAAAAAA==&#10;">
              <v:fill on="f" focussize="0,0"/>
              <v:stroke on="f" weight="0.5pt"/>
              <v:imagedata o:title=""/>
              <o:lock v:ext="edit" aspectratio="f"/>
              <v:textbox inset="0mm,0mm,0mm,0mm" style="mso-fit-shape-to-text:t;">
                <w:txbxContent>
                  <w:p>
                    <w:pPr>
                      <w:pStyle w:val="10"/>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val="en-US" w:eastAsia="zh-CN"/>
                      </w:rPr>
                      <w:t>20</w:t>
                    </w:r>
                    <w:r>
                      <w:rPr>
                        <w:rFonts w:hint="eastAsia"/>
                        <w:lang w:eastAsia="zh-CN"/>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val="en-US" w:eastAsia="zh-CN"/>
                            </w:rPr>
                            <w:t>18</w:t>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0"/>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val="en-US" w:eastAsia="zh-CN"/>
                      </w:rPr>
                      <w:t>18</w:t>
                    </w:r>
                    <w:r>
                      <w:rPr>
                        <w:rFonts w:hint="eastAsia"/>
                        <w:lang w:eastAsia="zh-CN"/>
                      </w:rP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036955" cy="18478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036955" cy="184785"/>
                      </a:xfrm>
                      <a:prstGeom prst="rect">
                        <a:avLst/>
                      </a:prstGeom>
                      <a:noFill/>
                      <a:ln>
                        <a:noFill/>
                      </a:ln>
                    </wps:spPr>
                    <wps:txbx>
                      <w:txbxContent>
                        <w:p>
                          <w:pPr>
                            <w:spacing w:line="271" w:lineRule="exact"/>
                            <w:ind w:left="4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 xml:space="preserve">第 </w:t>
                          </w:r>
                          <w:r>
                            <w:rPr>
                              <w:rFonts w:hint="eastAsia" w:ascii="宋体" w:hAnsi="宋体" w:eastAsia="宋体" w:cs="宋体"/>
                              <w:sz w:val="18"/>
                              <w:szCs w:val="18"/>
                              <w:lang w:eastAsia="zh-CN"/>
                            </w:rPr>
                            <w:fldChar w:fldCharType="begin"/>
                          </w:r>
                          <w:r>
                            <w:rPr>
                              <w:rFonts w:hint="eastAsia" w:ascii="宋体" w:hAnsi="宋体" w:eastAsia="宋体" w:cs="宋体"/>
                              <w:sz w:val="18"/>
                              <w:szCs w:val="18"/>
                              <w:lang w:eastAsia="zh-CN"/>
                            </w:rPr>
                            <w:instrText xml:space="preserve"> PAGE  \* MERGEFORMAT </w:instrText>
                          </w:r>
                          <w:r>
                            <w:rPr>
                              <w:rFonts w:hint="eastAsia" w:ascii="宋体" w:hAnsi="宋体" w:eastAsia="宋体" w:cs="宋体"/>
                              <w:sz w:val="18"/>
                              <w:szCs w:val="18"/>
                              <w:lang w:eastAsia="zh-CN"/>
                            </w:rPr>
                            <w:fldChar w:fldCharType="separate"/>
                          </w:r>
                          <w:r>
                            <w:rPr>
                              <w:rFonts w:hint="eastAsia" w:ascii="宋体" w:hAnsi="宋体" w:eastAsia="宋体" w:cs="宋体"/>
                              <w:sz w:val="18"/>
                              <w:szCs w:val="18"/>
                              <w:lang w:eastAsia="zh-CN"/>
                            </w:rPr>
                            <w:t>17</w:t>
                          </w:r>
                          <w:r>
                            <w:rPr>
                              <w:rFonts w:hint="eastAsia" w:ascii="宋体" w:hAnsi="宋体" w:eastAsia="宋体" w:cs="宋体"/>
                              <w:sz w:val="18"/>
                              <w:szCs w:val="18"/>
                              <w:lang w:eastAsia="zh-CN"/>
                            </w:rPr>
                            <w:fldChar w:fldCharType="end"/>
                          </w:r>
                          <w:r>
                            <w:rPr>
                              <w:rFonts w:hint="eastAsia" w:ascii="宋体" w:hAnsi="宋体" w:eastAsia="宋体" w:cs="宋体"/>
                              <w:sz w:val="18"/>
                              <w:szCs w:val="18"/>
                              <w:lang w:eastAsia="zh-CN"/>
                            </w:rPr>
                            <w:t xml:space="preserve"> 页 共 </w:t>
                          </w:r>
                          <w:r>
                            <w:rPr>
                              <w:rFonts w:hint="eastAsia" w:ascii="宋体" w:hAnsi="宋体" w:cs="宋体"/>
                              <w:sz w:val="18"/>
                              <w:szCs w:val="18"/>
                              <w:lang w:val="en-US" w:eastAsia="zh-CN"/>
                            </w:rPr>
                            <w:t>18</w:t>
                          </w:r>
                          <w:r>
                            <w:rPr>
                              <w:rFonts w:hint="eastAsia" w:ascii="宋体" w:hAnsi="宋体" w:eastAsia="宋体" w:cs="宋体"/>
                              <w:sz w:val="18"/>
                              <w:szCs w:val="18"/>
                              <w:lang w:eastAsia="zh-CN"/>
                            </w:rPr>
                            <w:t xml:space="preserve"> 页</w:t>
                          </w:r>
                        </w:p>
                      </w:txbxContent>
                    </wps:txbx>
                    <wps:bodyPr lIns="0" tIns="0" rIns="0" bIns="0" upright="1"/>
                  </wps:wsp>
                </a:graphicData>
              </a:graphic>
            </wp:anchor>
          </w:drawing>
        </mc:Choice>
        <mc:Fallback>
          <w:pict>
            <v:shape id="_x0000_s1026" o:spid="_x0000_s1026" o:spt="202" type="#_x0000_t202" style="position:absolute;left:0pt;margin-top:0pt;height:14.55pt;width:81.65pt;mso-position-horizontal:center;mso-position-horizontal-relative:margin;z-index:251659264;mso-width-relative:page;mso-height-relative:page;" filled="f" stroked="f" coordsize="21600,21600" o:gfxdata="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Imex73UAAAABAEAAA8AAAAAAAAAAQAgAAAAIgAAAGRycy9kb3ducmV2LnhtbFBLAQIUABQA&#10;AAAIAIdO4kAoEuUPuwEAAHIDAAAOAAAAAAAAAAEAIAAAACMBAABkcnMvZTJvRG9jLnhtbFBLBQYA&#10;AAAABgAGAFkBAABQBQAAAAA=&#10;">
              <v:fill on="f" focussize="0,0"/>
              <v:stroke on="f"/>
              <v:imagedata o:title=""/>
              <o:lock v:ext="edit" aspectratio="f"/>
              <v:textbox inset="0mm,0mm,0mm,0mm">
                <w:txbxContent>
                  <w:p>
                    <w:pPr>
                      <w:spacing w:line="271" w:lineRule="exact"/>
                      <w:ind w:left="40"/>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 xml:space="preserve">第 </w:t>
                    </w:r>
                    <w:r>
                      <w:rPr>
                        <w:rFonts w:hint="eastAsia" w:ascii="宋体" w:hAnsi="宋体" w:eastAsia="宋体" w:cs="宋体"/>
                        <w:sz w:val="18"/>
                        <w:szCs w:val="18"/>
                        <w:lang w:eastAsia="zh-CN"/>
                      </w:rPr>
                      <w:fldChar w:fldCharType="begin"/>
                    </w:r>
                    <w:r>
                      <w:rPr>
                        <w:rFonts w:hint="eastAsia" w:ascii="宋体" w:hAnsi="宋体" w:eastAsia="宋体" w:cs="宋体"/>
                        <w:sz w:val="18"/>
                        <w:szCs w:val="18"/>
                        <w:lang w:eastAsia="zh-CN"/>
                      </w:rPr>
                      <w:instrText xml:space="preserve"> PAGE  \* MERGEFORMAT </w:instrText>
                    </w:r>
                    <w:r>
                      <w:rPr>
                        <w:rFonts w:hint="eastAsia" w:ascii="宋体" w:hAnsi="宋体" w:eastAsia="宋体" w:cs="宋体"/>
                        <w:sz w:val="18"/>
                        <w:szCs w:val="18"/>
                        <w:lang w:eastAsia="zh-CN"/>
                      </w:rPr>
                      <w:fldChar w:fldCharType="separate"/>
                    </w:r>
                    <w:r>
                      <w:rPr>
                        <w:rFonts w:hint="eastAsia" w:ascii="宋体" w:hAnsi="宋体" w:eastAsia="宋体" w:cs="宋体"/>
                        <w:sz w:val="18"/>
                        <w:szCs w:val="18"/>
                        <w:lang w:eastAsia="zh-CN"/>
                      </w:rPr>
                      <w:t>17</w:t>
                    </w:r>
                    <w:r>
                      <w:rPr>
                        <w:rFonts w:hint="eastAsia" w:ascii="宋体" w:hAnsi="宋体" w:eastAsia="宋体" w:cs="宋体"/>
                        <w:sz w:val="18"/>
                        <w:szCs w:val="18"/>
                        <w:lang w:eastAsia="zh-CN"/>
                      </w:rPr>
                      <w:fldChar w:fldCharType="end"/>
                    </w:r>
                    <w:r>
                      <w:rPr>
                        <w:rFonts w:hint="eastAsia" w:ascii="宋体" w:hAnsi="宋体" w:eastAsia="宋体" w:cs="宋体"/>
                        <w:sz w:val="18"/>
                        <w:szCs w:val="18"/>
                        <w:lang w:eastAsia="zh-CN"/>
                      </w:rPr>
                      <w:t xml:space="preserve"> 页 共 </w:t>
                    </w:r>
                    <w:r>
                      <w:rPr>
                        <w:rFonts w:hint="eastAsia" w:ascii="宋体" w:hAnsi="宋体" w:cs="宋体"/>
                        <w:sz w:val="18"/>
                        <w:szCs w:val="18"/>
                        <w:lang w:val="en-US" w:eastAsia="zh-CN"/>
                      </w:rPr>
                      <w:t>18</w:t>
                    </w:r>
                    <w:r>
                      <w:rPr>
                        <w:rFonts w:hint="eastAsia" w:ascii="宋体" w:hAnsi="宋体" w:eastAsia="宋体" w:cs="宋体"/>
                        <w:sz w:val="18"/>
                        <w:szCs w:val="18"/>
                        <w:lang w:eastAsia="zh-CN"/>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p>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p>
    <w:pPr>
      <w:pStyle w:val="11"/>
    </w:pPr>
  </w:p>
  <w:p>
    <w:pPr>
      <w:pStyle w:val="11"/>
    </w:pPr>
  </w:p>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27CAF7"/>
    <w:multiLevelType w:val="singleLevel"/>
    <w:tmpl w:val="A227CAF7"/>
    <w:lvl w:ilvl="0" w:tentative="0">
      <w:start w:val="1"/>
      <w:numFmt w:val="decimal"/>
      <w:suff w:val="nothing"/>
      <w:lvlText w:val="%1、"/>
      <w:lvlJc w:val="left"/>
    </w:lvl>
  </w:abstractNum>
  <w:abstractNum w:abstractNumId="1">
    <w:nsid w:val="E9A0E512"/>
    <w:multiLevelType w:val="singleLevel"/>
    <w:tmpl w:val="E9A0E512"/>
    <w:lvl w:ilvl="0" w:tentative="0">
      <w:start w:val="2"/>
      <w:numFmt w:val="chineseCounting"/>
      <w:suff w:val="nothing"/>
      <w:lvlText w:val="（%1）"/>
      <w:lvlJc w:val="left"/>
      <w:rPr>
        <w:rFonts w:hint="eastAsia"/>
      </w:rPr>
    </w:lvl>
  </w:abstractNum>
  <w:abstractNum w:abstractNumId="2">
    <w:nsid w:val="F74A4193"/>
    <w:multiLevelType w:val="singleLevel"/>
    <w:tmpl w:val="F74A4193"/>
    <w:lvl w:ilvl="0" w:tentative="0">
      <w:start w:val="10"/>
      <w:numFmt w:val="chineseCounting"/>
      <w:suff w:val="nothing"/>
      <w:lvlText w:val="%1、"/>
      <w:lvlJc w:val="left"/>
      <w:rPr>
        <w:rFonts w:hint="eastAsia"/>
      </w:rPr>
    </w:lvl>
  </w:abstractNum>
  <w:abstractNum w:abstractNumId="3">
    <w:nsid w:val="F9732655"/>
    <w:multiLevelType w:val="singleLevel"/>
    <w:tmpl w:val="F9732655"/>
    <w:lvl w:ilvl="0" w:tentative="0">
      <w:start w:val="3"/>
      <w:numFmt w:val="chineseCounting"/>
      <w:suff w:val="nothing"/>
      <w:lvlText w:val="%1、"/>
      <w:lvlJc w:val="left"/>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210"/>
  <w:drawingGridVerticalSpacing w:val="-794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CA4CA0"/>
    <w:rsid w:val="004B350A"/>
    <w:rsid w:val="009C13ED"/>
    <w:rsid w:val="00A06BEC"/>
    <w:rsid w:val="00EE0421"/>
    <w:rsid w:val="01F21E5F"/>
    <w:rsid w:val="0362664B"/>
    <w:rsid w:val="03B14AB1"/>
    <w:rsid w:val="03D10520"/>
    <w:rsid w:val="04D66F2F"/>
    <w:rsid w:val="061F0C48"/>
    <w:rsid w:val="06A44F61"/>
    <w:rsid w:val="06BF2213"/>
    <w:rsid w:val="094209F2"/>
    <w:rsid w:val="09F21132"/>
    <w:rsid w:val="0AF32EB1"/>
    <w:rsid w:val="0C882B92"/>
    <w:rsid w:val="0CA907A2"/>
    <w:rsid w:val="0CDB516C"/>
    <w:rsid w:val="0D1F0DE3"/>
    <w:rsid w:val="0D7462B1"/>
    <w:rsid w:val="0F306C0B"/>
    <w:rsid w:val="0F667C73"/>
    <w:rsid w:val="10061CAF"/>
    <w:rsid w:val="101A66D0"/>
    <w:rsid w:val="104C30E6"/>
    <w:rsid w:val="10D116E5"/>
    <w:rsid w:val="11CC3C75"/>
    <w:rsid w:val="11FC03FD"/>
    <w:rsid w:val="1276373D"/>
    <w:rsid w:val="1284336E"/>
    <w:rsid w:val="143B0C88"/>
    <w:rsid w:val="15F97039"/>
    <w:rsid w:val="161208B9"/>
    <w:rsid w:val="16840E3C"/>
    <w:rsid w:val="16FE2125"/>
    <w:rsid w:val="18380753"/>
    <w:rsid w:val="18D8100D"/>
    <w:rsid w:val="193F6BE1"/>
    <w:rsid w:val="19DA2D2A"/>
    <w:rsid w:val="1A732FF9"/>
    <w:rsid w:val="1B46073B"/>
    <w:rsid w:val="1BAB6857"/>
    <w:rsid w:val="1E693FF2"/>
    <w:rsid w:val="1F695D21"/>
    <w:rsid w:val="20251348"/>
    <w:rsid w:val="20E650A9"/>
    <w:rsid w:val="21DD7518"/>
    <w:rsid w:val="2396398A"/>
    <w:rsid w:val="23CC1539"/>
    <w:rsid w:val="253E692D"/>
    <w:rsid w:val="2551442D"/>
    <w:rsid w:val="25B637F9"/>
    <w:rsid w:val="2623051A"/>
    <w:rsid w:val="263565A1"/>
    <w:rsid w:val="27440912"/>
    <w:rsid w:val="276A6A6A"/>
    <w:rsid w:val="27742974"/>
    <w:rsid w:val="27763983"/>
    <w:rsid w:val="279C7EA2"/>
    <w:rsid w:val="2A506989"/>
    <w:rsid w:val="2ABE611C"/>
    <w:rsid w:val="2B6E35E6"/>
    <w:rsid w:val="2D057F2C"/>
    <w:rsid w:val="30E46AB4"/>
    <w:rsid w:val="3161401D"/>
    <w:rsid w:val="31AD51E9"/>
    <w:rsid w:val="320E08ED"/>
    <w:rsid w:val="32255D57"/>
    <w:rsid w:val="3416797B"/>
    <w:rsid w:val="349A6486"/>
    <w:rsid w:val="34BA2CDB"/>
    <w:rsid w:val="34D67587"/>
    <w:rsid w:val="35571C2F"/>
    <w:rsid w:val="37CF28D6"/>
    <w:rsid w:val="39B54E8C"/>
    <w:rsid w:val="3ACA4CA0"/>
    <w:rsid w:val="3C141F7A"/>
    <w:rsid w:val="3D6568E1"/>
    <w:rsid w:val="3DB116B9"/>
    <w:rsid w:val="3E523C03"/>
    <w:rsid w:val="3E87168F"/>
    <w:rsid w:val="3E8C35B1"/>
    <w:rsid w:val="3EC62A55"/>
    <w:rsid w:val="3EE05EE2"/>
    <w:rsid w:val="415D1F93"/>
    <w:rsid w:val="42CD682B"/>
    <w:rsid w:val="43A77EE0"/>
    <w:rsid w:val="44727014"/>
    <w:rsid w:val="46A976B7"/>
    <w:rsid w:val="46AB02B5"/>
    <w:rsid w:val="46E74F7B"/>
    <w:rsid w:val="4831012B"/>
    <w:rsid w:val="495E07AE"/>
    <w:rsid w:val="49C45C26"/>
    <w:rsid w:val="49CF574A"/>
    <w:rsid w:val="4A8A11BE"/>
    <w:rsid w:val="51114FEF"/>
    <w:rsid w:val="51510CAE"/>
    <w:rsid w:val="52E5455B"/>
    <w:rsid w:val="53E63429"/>
    <w:rsid w:val="575960EF"/>
    <w:rsid w:val="584B52B9"/>
    <w:rsid w:val="5A7D7D7F"/>
    <w:rsid w:val="5B72076B"/>
    <w:rsid w:val="5BC56874"/>
    <w:rsid w:val="5C9B3740"/>
    <w:rsid w:val="60B51185"/>
    <w:rsid w:val="61493241"/>
    <w:rsid w:val="61FD55A5"/>
    <w:rsid w:val="620E15A1"/>
    <w:rsid w:val="62AC79C6"/>
    <w:rsid w:val="63806275"/>
    <w:rsid w:val="6476504E"/>
    <w:rsid w:val="64F925FD"/>
    <w:rsid w:val="65CB32E2"/>
    <w:rsid w:val="65E15DB6"/>
    <w:rsid w:val="675E06E6"/>
    <w:rsid w:val="67775589"/>
    <w:rsid w:val="67D436C2"/>
    <w:rsid w:val="695A25FA"/>
    <w:rsid w:val="6B051A6C"/>
    <w:rsid w:val="6CA2077A"/>
    <w:rsid w:val="6DB74FCF"/>
    <w:rsid w:val="6E0E5B3F"/>
    <w:rsid w:val="6E385681"/>
    <w:rsid w:val="6F123E88"/>
    <w:rsid w:val="70B32552"/>
    <w:rsid w:val="70B37A73"/>
    <w:rsid w:val="71FD72E5"/>
    <w:rsid w:val="78553FEF"/>
    <w:rsid w:val="78EB23BC"/>
    <w:rsid w:val="799013DC"/>
    <w:rsid w:val="79B21EB6"/>
    <w:rsid w:val="7A747019"/>
    <w:rsid w:val="7A7A2B8B"/>
    <w:rsid w:val="7BBF35A1"/>
    <w:rsid w:val="7CE52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eastAsia="宋体" w:asciiTheme="minorAscii" w:hAnsiTheme="minorAscii" w:cstheme="minorBidi"/>
      <w:kern w:val="2"/>
      <w:sz w:val="21"/>
      <w:szCs w:val="22"/>
      <w:lang w:val="en-US" w:eastAsia="zh-CN" w:bidi="ar-SA"/>
    </w:rPr>
  </w:style>
  <w:style w:type="paragraph" w:styleId="4">
    <w:name w:val="heading 1"/>
    <w:basedOn w:val="1"/>
    <w:next w:val="1"/>
    <w:qFormat/>
    <w:uiPriority w:val="1"/>
    <w:pPr>
      <w:spacing w:line="240" w:lineRule="auto"/>
      <w:ind w:left="0" w:leftChars="0"/>
      <w:jc w:val="left"/>
      <w:outlineLvl w:val="0"/>
    </w:pPr>
    <w:rPr>
      <w:rFonts w:ascii="宋体" w:hAnsi="宋体" w:eastAsia="黑体" w:cs="宋体"/>
      <w:b/>
      <w:sz w:val="28"/>
      <w:szCs w:val="84"/>
      <w:lang w:val="zh-CN" w:bidi="zh-CN"/>
    </w:rPr>
  </w:style>
  <w:style w:type="paragraph" w:styleId="5">
    <w:name w:val="heading 2"/>
    <w:basedOn w:val="1"/>
    <w:next w:val="1"/>
    <w:qFormat/>
    <w:uiPriority w:val="1"/>
    <w:pPr>
      <w:spacing w:before="20" w:after="50" w:afterLines="50" w:line="240" w:lineRule="auto"/>
      <w:ind w:left="210" w:leftChars="200" w:right="17"/>
      <w:jc w:val="left"/>
      <w:outlineLvl w:val="1"/>
    </w:pPr>
    <w:rPr>
      <w:rFonts w:ascii="宋体" w:hAnsi="宋体" w:cs="宋体"/>
      <w:b/>
      <w:sz w:val="24"/>
      <w:szCs w:val="36"/>
      <w:lang w:val="zh-CN" w:bidi="zh-CN"/>
    </w:rPr>
  </w:style>
  <w:style w:type="paragraph" w:styleId="6">
    <w:name w:val="heading 3"/>
    <w:basedOn w:val="1"/>
    <w:next w:val="1"/>
    <w:link w:val="23"/>
    <w:qFormat/>
    <w:uiPriority w:val="1"/>
    <w:pPr>
      <w:spacing w:before="20" w:after="60" w:line="240" w:lineRule="auto"/>
      <w:ind w:left="0" w:leftChars="300"/>
      <w:jc w:val="left"/>
      <w:outlineLvl w:val="2"/>
    </w:pPr>
    <w:rPr>
      <w:rFonts w:ascii="宋体" w:hAnsi="宋体" w:cs="宋体"/>
      <w:b/>
      <w:szCs w:val="28"/>
      <w:lang w:val="zh-CN" w:bidi="zh-CN"/>
    </w:rPr>
  </w:style>
  <w:style w:type="paragraph" w:styleId="7">
    <w:name w:val="heading 4"/>
    <w:basedOn w:val="1"/>
    <w:next w:val="1"/>
    <w:qFormat/>
    <w:uiPriority w:val="1"/>
    <w:pPr>
      <w:spacing w:before="120"/>
      <w:ind w:left="533"/>
      <w:jc w:val="center"/>
      <w:outlineLvl w:val="3"/>
    </w:pPr>
    <w:rPr>
      <w:rFonts w:ascii="宋体" w:hAnsi="宋体" w:eastAsia="宋体" w:cs="宋体"/>
      <w:b/>
      <w:sz w:val="18"/>
      <w:szCs w:val="24"/>
      <w:lang w:val="zh-CN" w:bidi="zh-CN"/>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line="400" w:lineRule="exact"/>
      <w:ind w:firstLine="570"/>
    </w:pPr>
    <w:rPr>
      <w:rFonts w:ascii="Calibri" w:hAnsi="Calibri"/>
      <w:sz w:val="24"/>
    </w:rPr>
  </w:style>
  <w:style w:type="paragraph" w:styleId="8">
    <w:name w:val="Body Text"/>
    <w:basedOn w:val="1"/>
    <w:qFormat/>
    <w:uiPriority w:val="1"/>
    <w:rPr>
      <w:rFonts w:ascii="宋体" w:hAnsi="宋体" w:eastAsia="宋体" w:cs="宋体"/>
      <w:szCs w:val="21"/>
      <w:lang w:val="zh-CN" w:bidi="zh-CN"/>
    </w:rPr>
  </w:style>
  <w:style w:type="paragraph" w:styleId="9">
    <w:name w:val="toc 3"/>
    <w:basedOn w:val="1"/>
    <w:next w:val="1"/>
    <w:qFormat/>
    <w:uiPriority w:val="0"/>
    <w:pPr>
      <w:ind w:left="840" w:leftChars="4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toc 4"/>
    <w:basedOn w:val="1"/>
    <w:next w:val="1"/>
    <w:qFormat/>
    <w:uiPriority w:val="0"/>
    <w:pPr>
      <w:ind w:left="1260" w:leftChars="600"/>
    </w:pPr>
  </w:style>
  <w:style w:type="paragraph" w:styleId="14">
    <w:name w:val="toc 2"/>
    <w:basedOn w:val="1"/>
    <w:next w:val="1"/>
    <w:uiPriority w:val="0"/>
    <w:pPr>
      <w:ind w:left="420" w:leftChars="200"/>
    </w:pPr>
  </w:style>
  <w:style w:type="paragraph" w:styleId="15">
    <w:name w:val="Normal (Web)"/>
    <w:basedOn w:val="1"/>
    <w:qFormat/>
    <w:uiPriority w:val="0"/>
    <w:pPr>
      <w:spacing w:beforeAutospacing="1" w:afterAutospacing="1"/>
      <w:jc w:val="left"/>
    </w:pPr>
    <w:rPr>
      <w:rFonts w:cs="Times New Roman"/>
      <w:kern w:val="0"/>
      <w:sz w:val="24"/>
    </w:rPr>
  </w:style>
  <w:style w:type="table" w:styleId="17">
    <w:name w:val="Table Grid"/>
    <w:basedOn w:val="1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9">
    <w:name w:val="Hyperlink"/>
    <w:basedOn w:val="18"/>
    <w:qFormat/>
    <w:uiPriority w:val="0"/>
    <w:rPr>
      <w:color w:val="0000FF"/>
      <w:u w:val="single"/>
    </w:rPr>
  </w:style>
  <w:style w:type="paragraph" w:customStyle="1" w:styleId="20">
    <w:name w:val="Table Paragraph"/>
    <w:basedOn w:val="1"/>
    <w:qFormat/>
    <w:uiPriority w:val="1"/>
    <w:rPr>
      <w:rFonts w:ascii="宋体" w:hAnsi="宋体" w:eastAsia="宋体" w:cs="宋体"/>
      <w:lang w:val="zh-CN" w:bidi="zh-CN"/>
    </w:rPr>
  </w:style>
  <w:style w:type="paragraph" w:styleId="21">
    <w:name w:val="List Paragraph"/>
    <w:basedOn w:val="1"/>
    <w:qFormat/>
    <w:uiPriority w:val="1"/>
    <w:rPr>
      <w:lang w:val="zh-CN" w:bidi="zh-CN"/>
    </w:rPr>
  </w:style>
  <w:style w:type="character" w:customStyle="1" w:styleId="22">
    <w:name w:val="font01"/>
    <w:basedOn w:val="18"/>
    <w:qFormat/>
    <w:uiPriority w:val="0"/>
    <w:rPr>
      <w:rFonts w:hint="eastAsia" w:ascii="宋体" w:hAnsi="宋体" w:eastAsia="宋体" w:cs="宋体"/>
      <w:color w:val="000000"/>
      <w:sz w:val="28"/>
      <w:szCs w:val="28"/>
      <w:u w:val="none"/>
    </w:rPr>
  </w:style>
  <w:style w:type="character" w:customStyle="1" w:styleId="23">
    <w:name w:val="标题 3 Char"/>
    <w:link w:val="6"/>
    <w:qFormat/>
    <w:uiPriority w:val="1"/>
    <w:rPr>
      <w:rFonts w:ascii="宋体" w:hAnsi="宋体" w:eastAsia="宋体" w:cs="宋体"/>
      <w:b/>
      <w:sz w:val="21"/>
      <w:szCs w:val="28"/>
      <w:lang w:val="zh-CN" w:bidi="zh-CN"/>
    </w:rPr>
  </w:style>
  <w:style w:type="paragraph" w:customStyle="1" w:styleId="24">
    <w:name w:val="WPSOffice手动目录 1"/>
    <w:qFormat/>
    <w:uiPriority w:val="0"/>
    <w:pPr>
      <w:ind w:leftChars="0"/>
    </w:pPr>
    <w:rPr>
      <w:rFonts w:ascii="Times New Roman" w:hAnsi="Times New Roman" w:eastAsia="宋体" w:cs="Times New Roman"/>
      <w:sz w:val="20"/>
      <w:szCs w:val="20"/>
    </w:rPr>
  </w:style>
  <w:style w:type="paragraph" w:customStyle="1" w:styleId="25">
    <w:name w:val="WPSOffice手动目录 2"/>
    <w:qFormat/>
    <w:uiPriority w:val="0"/>
    <w:pPr>
      <w:ind w:leftChars="200"/>
    </w:pPr>
    <w:rPr>
      <w:rFonts w:ascii="Times New Roman" w:hAnsi="Times New Roman" w:eastAsia="宋体" w:cs="Times New Roman"/>
      <w:sz w:val="20"/>
      <w:szCs w:val="20"/>
    </w:rPr>
  </w:style>
  <w:style w:type="paragraph" w:customStyle="1" w:styleId="26">
    <w:name w:val="WPSOffice手动目录 3"/>
    <w:qFormat/>
    <w:uiPriority w:val="0"/>
    <w:pPr>
      <w:ind w:leftChars="400"/>
    </w:pPr>
    <w:rPr>
      <w:rFonts w:ascii="Times New Roman" w:hAnsi="Times New Roman" w:eastAsia="宋体" w:cs="Times New Roman"/>
      <w:sz w:val="20"/>
      <w:szCs w:val="20"/>
    </w:rPr>
  </w:style>
  <w:style w:type="character" w:customStyle="1" w:styleId="27">
    <w:name w:val="font11"/>
    <w:basedOn w:val="18"/>
    <w:qFormat/>
    <w:uiPriority w:val="0"/>
    <w:rPr>
      <w:rFonts w:hint="eastAsia" w:ascii="仿宋" w:hAnsi="仿宋" w:eastAsia="仿宋" w:cs="仿宋"/>
      <w:b/>
      <w:color w:val="000000"/>
      <w:sz w:val="24"/>
      <w:szCs w:val="24"/>
      <w:u w:val="none"/>
    </w:rPr>
  </w:style>
  <w:style w:type="character" w:customStyle="1" w:styleId="28">
    <w:name w:val="font41"/>
    <w:basedOn w:val="18"/>
    <w:uiPriority w:val="0"/>
    <w:rPr>
      <w:rFonts w:hint="default" w:ascii="Times New Roman" w:hAnsi="Times New Roman" w:cs="Times New Roman"/>
      <w:color w:val="000000"/>
      <w:sz w:val="24"/>
      <w:szCs w:val="24"/>
      <w:u w:val="none"/>
    </w:rPr>
  </w:style>
  <w:style w:type="character" w:customStyle="1" w:styleId="29">
    <w:name w:val="font21"/>
    <w:basedOn w:val="18"/>
    <w:uiPriority w:val="0"/>
    <w:rPr>
      <w:rFonts w:hint="eastAsia" w:ascii="仿宋" w:hAnsi="仿宋" w:eastAsia="仿宋" w:cs="仿宋"/>
      <w:color w:val="000000"/>
      <w:sz w:val="24"/>
      <w:szCs w:val="24"/>
      <w:u w:val="none"/>
    </w:rPr>
  </w:style>
  <w:style w:type="character" w:customStyle="1" w:styleId="30">
    <w:name w:val="font51"/>
    <w:basedOn w:val="18"/>
    <w:uiPriority w:val="0"/>
    <w:rPr>
      <w:rFonts w:ascii="Arial" w:hAnsi="Arial" w:cs="Aria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14545</Words>
  <Characters>15888</Characters>
  <Lines>108</Lines>
  <Paragraphs>30</Paragraphs>
  <TotalTime>1</TotalTime>
  <ScaleCrop>false</ScaleCrop>
  <LinksUpToDate>false</LinksUpToDate>
  <CharactersWithSpaces>16029</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2020-06-18T08:45:00Z</dcterms:created>
  <dc:creator>风化泪</dc:creator>
  <cp:lastModifiedBy>缘玲</cp:lastModifiedBy>
  <dcterms:modified xsi:type="dcterms:W3CDTF">2021-10-21T09:15:19Z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0D1CEE2B2F454BA0B6CF55246186DC39</vt:lpwstr>
  </property>
</Properties>
</file>